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530" w:rsidRPr="00792794" w:rsidRDefault="00AE1530" w:rsidP="00AE1530">
      <w:pPr>
        <w:pStyle w:val="Documenttitle"/>
        <w:rPr>
          <w:rFonts w:ascii="Calibri" w:eastAsia="Arial Unicode MS" w:hAnsi="Calibri" w:cs="Calibri"/>
          <w:b w:val="0"/>
          <w:bCs w:val="0"/>
          <w:color w:val="auto"/>
          <w:sz w:val="24"/>
          <w:szCs w:val="24"/>
          <w:bdr w:val="nil"/>
          <w:lang w:val="en-US"/>
        </w:rPr>
      </w:pPr>
    </w:p>
    <w:p w:rsidR="00AE1530" w:rsidRPr="00792794" w:rsidRDefault="00792794" w:rsidP="00AE1530">
      <w:pPr>
        <w:pStyle w:val="Documenttitle"/>
        <w:rPr>
          <w:rFonts w:ascii="Calibri" w:hAnsi="Calibri" w:cs="Calibri"/>
          <w:color w:val="808080" w:themeColor="background1" w:themeShade="80"/>
          <w:sz w:val="18"/>
          <w:lang w:val="en-US"/>
        </w:rPr>
      </w:pPr>
      <w:r w:rsidRPr="00792794">
        <w:rPr>
          <w:rFonts w:ascii="Calibri" w:hAnsi="Calibri" w:cs="Calibri"/>
          <w:color w:val="808080" w:themeColor="background1" w:themeShade="80"/>
          <w:lang w:val="en-US"/>
        </w:rPr>
        <w:t>Press Release</w:t>
      </w:r>
    </w:p>
    <w:p w:rsidR="00AE1530" w:rsidRPr="00792794" w:rsidRDefault="00AE1530" w:rsidP="00AE1530">
      <w:pPr>
        <w:pStyle w:val="TextA"/>
        <w:rPr>
          <w:rFonts w:ascii="Calibri" w:hAnsi="Calibri" w:cs="Calibri"/>
          <w:b/>
          <w:bCs/>
          <w:sz w:val="28"/>
          <w:szCs w:val="28"/>
          <w:lang w:val="en-US"/>
        </w:rPr>
      </w:pPr>
    </w:p>
    <w:p w:rsidR="002564BE" w:rsidRPr="00792794" w:rsidRDefault="00792794" w:rsidP="002564BE">
      <w:pPr>
        <w:pStyle w:val="NoSpacing"/>
        <w:rPr>
          <w:rFonts w:ascii="Calibri" w:hAnsi="Calibri" w:cs="Calibri"/>
          <w:b/>
          <w:sz w:val="36"/>
          <w:szCs w:val="36"/>
        </w:rPr>
      </w:pPr>
      <w:r w:rsidRPr="00792794">
        <w:rPr>
          <w:rFonts w:ascii="Calibri" w:hAnsi="Calibri" w:cs="Calibri"/>
          <w:b/>
          <w:sz w:val="36"/>
          <w:szCs w:val="36"/>
        </w:rPr>
        <w:t>Deloitte’s Sports Business Group estimates that Football Money League clubs will miss out on revenue of over €2 billion by end of the 2020/21 season due to the COVID-19 pandemic</w:t>
      </w:r>
    </w:p>
    <w:p w:rsidR="00792794" w:rsidRPr="00792794" w:rsidRDefault="00792794" w:rsidP="002564BE">
      <w:pPr>
        <w:pStyle w:val="NoSpacing"/>
        <w:rPr>
          <w:rFonts w:ascii="Calibri" w:hAnsi="Calibri" w:cs="Calibri"/>
          <w:b/>
          <w:sz w:val="24"/>
          <w:szCs w:val="36"/>
        </w:rPr>
      </w:pPr>
    </w:p>
    <w:p w:rsidR="00792794" w:rsidRPr="00792794" w:rsidRDefault="00792794" w:rsidP="00792794">
      <w:pPr>
        <w:pStyle w:val="ListBullet"/>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eastAsiaTheme="minorHAnsi" w:hAnsi="Calibri" w:cs="Calibri"/>
          <w:sz w:val="22"/>
          <w:szCs w:val="22"/>
          <w:bdr w:val="none" w:sz="0" w:space="0" w:color="auto"/>
          <w:lang w:val="en-GB"/>
        </w:rPr>
      </w:pPr>
      <w:r w:rsidRPr="00792794">
        <w:rPr>
          <w:rFonts w:ascii="Calibri" w:hAnsi="Calibri" w:cs="Calibri"/>
          <w:sz w:val="22"/>
          <w:szCs w:val="22"/>
          <w:lang w:val="en-GB"/>
        </w:rPr>
        <w:t>The 24</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edition of the </w:t>
      </w:r>
      <w:r w:rsidRPr="00792794">
        <w:rPr>
          <w:rFonts w:ascii="Calibri" w:hAnsi="Calibri" w:cs="Calibri"/>
          <w:i/>
          <w:iCs/>
          <w:sz w:val="22"/>
          <w:szCs w:val="22"/>
          <w:lang w:val="en-GB"/>
        </w:rPr>
        <w:t>Deloitte Football Money League</w:t>
      </w:r>
      <w:r w:rsidRPr="00792794">
        <w:rPr>
          <w:rFonts w:ascii="Calibri" w:hAnsi="Calibri" w:cs="Calibri"/>
          <w:sz w:val="22"/>
          <w:szCs w:val="22"/>
          <w:lang w:val="en-GB"/>
        </w:rPr>
        <w:t xml:space="preserve"> profiles the financial performance of the highest revenue generating clubs in world football during a disrupted 2019/20 season;</w:t>
      </w:r>
    </w:p>
    <w:p w:rsidR="00792794" w:rsidRPr="00792794" w:rsidRDefault="00792794" w:rsidP="00792794">
      <w:pPr>
        <w:pStyle w:val="ListBullet"/>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r w:rsidRPr="00792794">
        <w:rPr>
          <w:rFonts w:ascii="Calibri" w:hAnsi="Calibri" w:cs="Calibri"/>
          <w:sz w:val="22"/>
          <w:szCs w:val="22"/>
          <w:lang w:val="en-GB"/>
        </w:rPr>
        <w:t>This year’s top 20 Money League clubs generated €8.2 billion, a decline of 12% compared to 2018/19 (€9.3 billion); This €1.1 billion decrease is explained by:</w:t>
      </w:r>
    </w:p>
    <w:p w:rsidR="00792794" w:rsidRPr="00792794" w:rsidRDefault="00792794" w:rsidP="00792794">
      <w:pPr>
        <w:pStyle w:val="ListBullet"/>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r w:rsidRPr="00792794">
        <w:rPr>
          <w:rFonts w:ascii="Calibri" w:hAnsi="Calibri" w:cs="Calibri"/>
          <w:sz w:val="22"/>
          <w:szCs w:val="22"/>
          <w:lang w:val="en-GB"/>
        </w:rPr>
        <w:t>a €937m (23%) drop in broadcast revenue, primarily due to revenue deferral and broadcaster rebates;</w:t>
      </w:r>
    </w:p>
    <w:p w:rsidR="00792794" w:rsidRPr="00792794" w:rsidRDefault="00792794" w:rsidP="00792794">
      <w:pPr>
        <w:pStyle w:val="ListBullet"/>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r w:rsidRPr="00792794">
        <w:rPr>
          <w:rFonts w:ascii="Calibri" w:hAnsi="Calibri" w:cs="Calibri"/>
          <w:sz w:val="22"/>
          <w:szCs w:val="22"/>
          <w:lang w:val="en-GB"/>
        </w:rPr>
        <w:t xml:space="preserve">a €257m (17%) fall in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and</w:t>
      </w:r>
    </w:p>
    <w:p w:rsidR="00792794" w:rsidRPr="00792794" w:rsidRDefault="00792794" w:rsidP="00792794">
      <w:pPr>
        <w:pStyle w:val="ListBullet"/>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proofErr w:type="gramStart"/>
      <w:r w:rsidRPr="00792794">
        <w:rPr>
          <w:rFonts w:ascii="Calibri" w:hAnsi="Calibri" w:cs="Calibri"/>
          <w:sz w:val="22"/>
          <w:szCs w:val="22"/>
          <w:lang w:val="en-GB"/>
        </w:rPr>
        <w:t>offset</w:t>
      </w:r>
      <w:proofErr w:type="gramEnd"/>
      <w:r w:rsidRPr="00792794">
        <w:rPr>
          <w:rFonts w:ascii="Calibri" w:hAnsi="Calibri" w:cs="Calibri"/>
          <w:sz w:val="22"/>
          <w:szCs w:val="22"/>
          <w:lang w:val="en-GB"/>
        </w:rPr>
        <w:t xml:space="preserve"> by a €105m (3%) increase in commercial revenue.</w:t>
      </w:r>
    </w:p>
    <w:p w:rsidR="00792794" w:rsidRPr="00792794" w:rsidRDefault="00792794" w:rsidP="00792794">
      <w:pPr>
        <w:pStyle w:val="ListBullet"/>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r w:rsidRPr="00792794">
        <w:rPr>
          <w:rFonts w:ascii="Calibri" w:hAnsi="Calibri" w:cs="Calibri"/>
          <w:sz w:val="22"/>
          <w:szCs w:val="22"/>
          <w:lang w:val="en-GB"/>
        </w:rPr>
        <w:t>Average revenue generated per club in the Money League top 20 was €409m in 2019/20, compared to €464m in 2018/19. This is similar to levels in the 2017/18 season;</w:t>
      </w:r>
    </w:p>
    <w:p w:rsidR="00792794" w:rsidRPr="00792794" w:rsidRDefault="00792794" w:rsidP="00792794">
      <w:pPr>
        <w:pStyle w:val="ListBullet"/>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r w:rsidRPr="00792794">
        <w:rPr>
          <w:rFonts w:ascii="Calibri" w:hAnsi="Calibri" w:cs="Calibri"/>
          <w:sz w:val="22"/>
          <w:szCs w:val="22"/>
          <w:lang w:val="en-GB"/>
        </w:rPr>
        <w:t>Rebates to broadcasters for the ‘big five’ leagues and UEFA reportedly total almost €1.2bn currently, of which a large proportion is borne by Money League clubs; and</w:t>
      </w:r>
    </w:p>
    <w:p w:rsidR="00792794" w:rsidRPr="00792794" w:rsidRDefault="00792794" w:rsidP="00792794">
      <w:pPr>
        <w:pStyle w:val="ListBullet"/>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Calibri" w:hAnsi="Calibri" w:cs="Calibri"/>
          <w:sz w:val="22"/>
          <w:szCs w:val="22"/>
          <w:lang w:val="en-GB"/>
        </w:rPr>
      </w:pP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of Money League clubs will likely be close to nil from March 2020, with fans seemingly unlikely to be able to return in significant numbers for any of the 2020/21 season.</w:t>
      </w:r>
    </w:p>
    <w:p w:rsidR="00792794" w:rsidRDefault="00792794" w:rsidP="00792794">
      <w:pPr>
        <w:pStyle w:val="ListBullet"/>
        <w:numPr>
          <w:ilvl w:val="0"/>
          <w:numId w:val="0"/>
        </w:numPr>
        <w:ind w:left="284"/>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The 20 highest revenue generating clubs in world football will have missed out on over €2 billion in revenue by the end of the 2020/21 season, according to the 24</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edition of the </w:t>
      </w:r>
      <w:r w:rsidRPr="00792794">
        <w:rPr>
          <w:rFonts w:ascii="Calibri" w:hAnsi="Calibri" w:cs="Calibri"/>
          <w:i/>
          <w:iCs/>
          <w:sz w:val="22"/>
          <w:szCs w:val="22"/>
          <w:lang w:val="en-GB"/>
        </w:rPr>
        <w:t>Football Money League</w:t>
      </w:r>
      <w:r w:rsidRPr="00792794">
        <w:rPr>
          <w:rFonts w:ascii="Calibri" w:hAnsi="Calibri" w:cs="Calibri"/>
          <w:sz w:val="22"/>
          <w:szCs w:val="22"/>
          <w:lang w:val="en-GB"/>
        </w:rPr>
        <w:t xml:space="preserve"> published by Deloitte’s Sports Business Group. Set against the context of the global economic and social disruption caused by the COVID-19 pandemic during the 2019/20 season, the report profiles the highest revenue generating clubs in world football.</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Under normal circumstances, clubs typically have a financial year-end that aligns with their domestic season (May or June for most European leagues). The disruption to the 2019/20 football season and the differing approaches by the various leagues, broadcasters and commercial partners have resulted in clubs’ revenue generated in respect of the 2019/20 season being spread across two financial years ending in 2020 and 2021. The majority of Deloitte’s analysis in this year’s Money League is focused on the financial year ending 2020.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As a result, this has led to a deferral element and a permanently lost element (notably on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income, but also rebates to broadcasters) to the reduction in revenue. In terms of deferral, the disruption to the 2019/20 season in most clubs’ cases meant that approximately one quarter’s revenue from the financial year ending in 2020 has been shifted to the financial year ending in 2021, resulting in 2021 having an additional quarter’s revenue.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Dan Jones, partner in the Sports Business Group at Deloitte, commented: “Leagues across the world took different approaches in response to the pandemic with respect to their seasons, ranging from postponement to termination, with final standings determined using different methodologies, to others being annulled entirely.</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“There is no doubt that this is one of the most testing times the football industry has ever had to endure. The absence of fans, postponement and cancellation of matches, rebates to broadcasters and the need to satisfy commercial partners have all significantly affected the compilation of the 2021 Football Money League. As a result, the comparability of relative performance between clubs in this year’s Money League is more challenging than usual.”</w:t>
      </w:r>
    </w:p>
    <w:p w:rsidR="00792794" w:rsidRPr="00792794" w:rsidRDefault="00792794" w:rsidP="00792794">
      <w:pPr>
        <w:pStyle w:val="ListBullet"/>
        <w:numPr>
          <w:ilvl w:val="0"/>
          <w:numId w:val="0"/>
        </w:numPr>
        <w:rPr>
          <w:rFonts w:ascii="Calibri" w:hAnsi="Calibri" w:cs="Calibri"/>
          <w:b/>
          <w:bCs/>
          <w:sz w:val="22"/>
          <w:szCs w:val="22"/>
          <w:lang w:val="en-GB"/>
        </w:rPr>
      </w:pPr>
    </w:p>
    <w:p w:rsidR="00792794" w:rsidRPr="00792794" w:rsidRDefault="00792794" w:rsidP="00792794">
      <w:pPr>
        <w:pStyle w:val="ListBullet"/>
        <w:numPr>
          <w:ilvl w:val="0"/>
          <w:numId w:val="0"/>
        </w:numPr>
        <w:rPr>
          <w:rFonts w:ascii="Calibri" w:hAnsi="Calibri" w:cs="Calibri"/>
          <w:b/>
          <w:bCs/>
          <w:sz w:val="22"/>
          <w:szCs w:val="22"/>
          <w:lang w:val="en-GB"/>
        </w:rPr>
      </w:pPr>
      <w:r w:rsidRPr="00792794">
        <w:rPr>
          <w:rFonts w:ascii="Calibri" w:hAnsi="Calibri" w:cs="Calibri"/>
          <w:b/>
          <w:bCs/>
          <w:sz w:val="22"/>
          <w:szCs w:val="22"/>
          <w:lang w:val="en-GB"/>
        </w:rPr>
        <w:t xml:space="preserve">In detail - the 2021 Football Money League </w:t>
      </w: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The 20 highest earning football clubs in the world generated €8.2 billion of combined revenue in 2019/20, down 12% on the prior season (€9.3 billion). The €1.1 billion decrease is explained by:</w:t>
      </w:r>
    </w:p>
    <w:p w:rsidR="00792794" w:rsidRPr="00792794" w:rsidRDefault="00792794" w:rsidP="00792794">
      <w:pPr>
        <w:rPr>
          <w:rFonts w:ascii="Calibri" w:hAnsi="Calibri" w:cs="Calibri"/>
          <w:sz w:val="22"/>
          <w:szCs w:val="22"/>
          <w:lang w:val="en-GB"/>
        </w:rPr>
      </w:pPr>
      <w:proofErr w:type="gramStart"/>
      <w:r w:rsidRPr="00792794">
        <w:rPr>
          <w:rFonts w:ascii="Calibri" w:hAnsi="Calibri" w:cs="Calibri"/>
          <w:sz w:val="22"/>
          <w:szCs w:val="22"/>
          <w:lang w:val="en-GB"/>
        </w:rPr>
        <w:t>a</w:t>
      </w:r>
      <w:proofErr w:type="gramEnd"/>
      <w:r w:rsidRPr="00792794">
        <w:rPr>
          <w:rFonts w:ascii="Calibri" w:hAnsi="Calibri" w:cs="Calibri"/>
          <w:sz w:val="22"/>
          <w:szCs w:val="22"/>
          <w:lang w:val="en-GB"/>
        </w:rPr>
        <w:t xml:space="preserve"> €937m (23%) drop in broadcast revenue, primarily due to the deferral of broadcast revenue into the financial year ending in 2021 and broadcaster rebates related to the disrupted 2019/20 season;</w:t>
      </w: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a €257m (17%) fall of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as matches were first postponed, then either cancelled or resumed behind closed doors and thus irrecoverable; </w:t>
      </w:r>
    </w:p>
    <w:p w:rsidR="00792794" w:rsidRPr="00792794" w:rsidRDefault="00792794" w:rsidP="00792794">
      <w:pPr>
        <w:rPr>
          <w:rFonts w:ascii="Calibri" w:hAnsi="Calibri" w:cs="Calibri"/>
          <w:sz w:val="22"/>
          <w:szCs w:val="22"/>
          <w:lang w:val="en-GB"/>
        </w:rPr>
      </w:pPr>
      <w:proofErr w:type="gramStart"/>
      <w:r w:rsidRPr="00792794">
        <w:rPr>
          <w:rFonts w:ascii="Calibri" w:hAnsi="Calibri" w:cs="Calibri"/>
          <w:sz w:val="22"/>
          <w:szCs w:val="22"/>
          <w:lang w:val="en-GB"/>
        </w:rPr>
        <w:t>offset</w:t>
      </w:r>
      <w:proofErr w:type="gramEnd"/>
      <w:r w:rsidRPr="00792794">
        <w:rPr>
          <w:rFonts w:ascii="Calibri" w:hAnsi="Calibri" w:cs="Calibri"/>
          <w:sz w:val="22"/>
          <w:szCs w:val="22"/>
          <w:lang w:val="en-GB"/>
        </w:rPr>
        <w:t xml:space="preserve"> by a €105m (3%) increase in commercial revenue, reflecting the commencement of several major commercial arrangements across Money League clubs in 2019/20.</w:t>
      </w:r>
    </w:p>
    <w:p w:rsidR="00792794" w:rsidRPr="00792794" w:rsidRDefault="00792794" w:rsidP="00792794">
      <w:pPr>
        <w:rPr>
          <w:rFonts w:ascii="Calibri" w:hAnsi="Calibri" w:cs="Calibri"/>
          <w:sz w:val="22"/>
          <w:szCs w:val="22"/>
          <w:lang w:val="en-GB" w:eastAsia="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Jones added: “Whilst no football club has been immune to the challenges of COVID-19, and other clubs have suffered more in relative terms, those in the Money League have borne the greatest financial impact in absolute value terms. In this year’s edition, the top 20 clubs generated an average of €409m per club, a decline of €55m compared to 2018/19 (€464m per club).</w:t>
      </w:r>
    </w:p>
    <w:p w:rsidR="00792794" w:rsidRPr="00792794" w:rsidRDefault="00792794" w:rsidP="00792794">
      <w:pPr>
        <w:rPr>
          <w:rFonts w:ascii="Calibri" w:hAnsi="Calibri" w:cs="Calibri"/>
          <w:sz w:val="22"/>
          <w:szCs w:val="22"/>
          <w:lang w:val="en-GB" w:eastAsia="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“The safe return of fans to stadia in significant numbers is one of the highest priorities across global football.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operations are a cornerstone of a club’s business model and help drive other revenue-generating activity. Fans’ absence will be more fully reflected in next year’s Money League. The final size of the financial impact of the pandemic on football will depend, in no small part, on the timing and scale of fans’ return.”</w:t>
      </w:r>
    </w:p>
    <w:p w:rsidR="00792794" w:rsidRPr="00792794" w:rsidRDefault="00792794" w:rsidP="00792794">
      <w:pPr>
        <w:pStyle w:val="ListBullet"/>
        <w:numPr>
          <w:ilvl w:val="0"/>
          <w:numId w:val="0"/>
        </w:numPr>
        <w:rPr>
          <w:rFonts w:ascii="Calibri" w:hAnsi="Calibri" w:cs="Calibri"/>
          <w:b/>
          <w:bCs/>
          <w:sz w:val="22"/>
          <w:szCs w:val="22"/>
          <w:lang w:val="en-GB"/>
        </w:rPr>
      </w:pPr>
    </w:p>
    <w:p w:rsidR="00792794" w:rsidRPr="00792794" w:rsidRDefault="00792794" w:rsidP="00792794">
      <w:pPr>
        <w:pStyle w:val="ListBullet"/>
        <w:numPr>
          <w:ilvl w:val="0"/>
          <w:numId w:val="0"/>
        </w:numPr>
        <w:rPr>
          <w:rFonts w:ascii="Calibri" w:hAnsi="Calibri" w:cs="Calibri"/>
          <w:b/>
          <w:bCs/>
          <w:sz w:val="22"/>
          <w:szCs w:val="22"/>
          <w:lang w:val="en-GB"/>
        </w:rPr>
      </w:pPr>
      <w:r w:rsidRPr="00792794">
        <w:rPr>
          <w:rFonts w:ascii="Calibri" w:hAnsi="Calibri" w:cs="Calibri"/>
          <w:b/>
          <w:bCs/>
          <w:sz w:val="22"/>
          <w:szCs w:val="22"/>
          <w:lang w:val="en-GB"/>
        </w:rPr>
        <w:t>Club-by-club</w:t>
      </w: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Despite the significantly different conditions across leagues in the 2019/20 season, the Money League’s composition has remained broadly consistent with previous years. The constituents of the top ten remain unchanged, whilst 18 of the 20 clubs were present in last year’s Money League.</w:t>
      </w:r>
    </w:p>
    <w:p w:rsidR="00792794" w:rsidRPr="00792794" w:rsidRDefault="00792794" w:rsidP="00792794">
      <w:pPr>
        <w:pStyle w:val="ListBullet"/>
        <w:numPr>
          <w:ilvl w:val="0"/>
          <w:numId w:val="0"/>
        </w:numPr>
        <w:rPr>
          <w:rFonts w:ascii="Calibri" w:hAnsi="Calibri" w:cs="Calibri"/>
          <w:sz w:val="22"/>
          <w:szCs w:val="22"/>
          <w:lang w:val="en-GB"/>
        </w:rPr>
      </w:pPr>
      <w:bookmarkStart w:id="0" w:name="_Hlk61449589"/>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FC Barcelona (1</w:t>
      </w:r>
      <w:r w:rsidRPr="00792794">
        <w:rPr>
          <w:rFonts w:ascii="Calibri" w:hAnsi="Calibri" w:cs="Calibri"/>
          <w:sz w:val="22"/>
          <w:szCs w:val="22"/>
          <w:vertAlign w:val="superscript"/>
          <w:lang w:val="en-GB"/>
        </w:rPr>
        <w:t>st</w:t>
      </w:r>
      <w:r w:rsidRPr="00792794">
        <w:rPr>
          <w:rFonts w:ascii="Calibri" w:hAnsi="Calibri" w:cs="Calibri"/>
          <w:sz w:val="22"/>
          <w:szCs w:val="22"/>
          <w:lang w:val="en-GB"/>
        </w:rPr>
        <w:t xml:space="preserve"> - €715.1m) and Real Madrid (2</w:t>
      </w:r>
      <w:r w:rsidRPr="00792794">
        <w:rPr>
          <w:rFonts w:ascii="Calibri" w:hAnsi="Calibri" w:cs="Calibri"/>
          <w:sz w:val="22"/>
          <w:szCs w:val="22"/>
          <w:vertAlign w:val="superscript"/>
          <w:lang w:val="en-GB"/>
        </w:rPr>
        <w:t>nd</w:t>
      </w:r>
      <w:r w:rsidRPr="00792794">
        <w:rPr>
          <w:rFonts w:ascii="Calibri" w:hAnsi="Calibri" w:cs="Calibri"/>
          <w:sz w:val="22"/>
          <w:szCs w:val="22"/>
          <w:lang w:val="en-GB"/>
        </w:rPr>
        <w:t xml:space="preserve"> - €714.9m) remained at the top of this year’s Money League, with the gap between the two of just €0.2m being the closest in Money League history.</w:t>
      </w:r>
    </w:p>
    <w:bookmarkEnd w:id="0"/>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Barcelona suffered the second largest revenue fall in absolute terms of any Money League club, off the back of its record-breaking year in 2018/19 when it became the first club to break the €800m revenue barrier (€840.8m).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Real Madrid’s revenue decline was smaller. The club achieved a €28.1m (8%) increase in commercial revenue following the extension of key partnerships and from taking control of more revenue generating activities in-house. </w:t>
      </w:r>
    </w:p>
    <w:p w:rsidR="00792794" w:rsidRPr="00792794" w:rsidRDefault="00792794" w:rsidP="00792794">
      <w:pPr>
        <w:pStyle w:val="ListBullet"/>
        <w:numPr>
          <w:ilvl w:val="0"/>
          <w:numId w:val="0"/>
        </w:numPr>
        <w:rPr>
          <w:rFonts w:ascii="Calibri" w:hAnsi="Calibri" w:cs="Calibri"/>
          <w:sz w:val="22"/>
          <w:szCs w:val="22"/>
          <w:highlight w:val="yellow"/>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Bayern Munich (€634.1m) rose to third place in this year’s Money League. A first top three placing since 2013/14. The club had the smallest revenue decrease (4%) of the Money League top ten, benefitting from being able to recognise all of its domestic broadcast revenue in the financial year ending in 2020 due to the earlier completion of the Bundesliga season.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Manchester United’s revenue of €580.4m (£509m) saw them slip to fourth place after a revenue decrease of €131.1m (£118.1m, 19%), the largest year-on-year decline in this year’s Money League. This was largely due to the Red Devils not competing in the 2019/20 UEFA Champions League as well as being affected by the absence of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and broadcast rebates and deferrals.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On the other hand, Liverpool entered the top five for the first time since 2001/02 with revenue of €558.6m (£489.9m). The club’s on-pitch success of the past few years continues to fuel financial success with the benefits associated with its Premier League triumph spread across the financial years ending in 2020 and 2021.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Manchester City (6</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€549.2m / £481.6m), Paris Saint-Germain (7</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€540.6m), Chelsea (8</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€469.7m / £411.9m), Tottenham Hotspur (9</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€445.7m / £390.9m) and Juventus (10</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€397.9m) make up the remainder of the top ten. </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18 of the 20 clubs were also present in last year’s edition – with FC </w:t>
      </w:r>
      <w:proofErr w:type="spellStart"/>
      <w:r w:rsidRPr="00792794">
        <w:rPr>
          <w:rFonts w:ascii="Calibri" w:hAnsi="Calibri" w:cs="Calibri"/>
          <w:sz w:val="22"/>
          <w:szCs w:val="22"/>
          <w:lang w:val="en-GB"/>
        </w:rPr>
        <w:t>Zenit</w:t>
      </w:r>
      <w:proofErr w:type="spellEnd"/>
      <w:r w:rsidRPr="00792794">
        <w:rPr>
          <w:rFonts w:ascii="Calibri" w:hAnsi="Calibri" w:cs="Calibri"/>
          <w:sz w:val="22"/>
          <w:szCs w:val="22"/>
          <w:lang w:val="en-GB"/>
        </w:rPr>
        <w:t xml:space="preserve"> (15</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€236.5m) and </w:t>
      </w:r>
      <w:proofErr w:type="spellStart"/>
      <w:r w:rsidRPr="00792794">
        <w:rPr>
          <w:rFonts w:ascii="Calibri" w:hAnsi="Calibri" w:cs="Calibri"/>
          <w:sz w:val="22"/>
          <w:szCs w:val="22"/>
          <w:lang w:val="en-GB"/>
        </w:rPr>
        <w:t>Eintracht</w:t>
      </w:r>
      <w:proofErr w:type="spellEnd"/>
      <w:r w:rsidRPr="00792794">
        <w:rPr>
          <w:rFonts w:ascii="Calibri" w:hAnsi="Calibri" w:cs="Calibri"/>
          <w:sz w:val="22"/>
          <w:szCs w:val="22"/>
          <w:lang w:val="en-GB"/>
        </w:rPr>
        <w:t xml:space="preserve"> Frankfurt (20</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€174m) replacing AS Roma and West Ham United. </w:t>
      </w:r>
      <w:proofErr w:type="spellStart"/>
      <w:r w:rsidRPr="00792794">
        <w:rPr>
          <w:rFonts w:ascii="Calibri" w:hAnsi="Calibri" w:cs="Calibri"/>
          <w:sz w:val="22"/>
          <w:szCs w:val="22"/>
          <w:lang w:val="en-GB"/>
        </w:rPr>
        <w:t>Zenit’s</w:t>
      </w:r>
      <w:proofErr w:type="spellEnd"/>
      <w:r w:rsidRPr="00792794">
        <w:rPr>
          <w:rFonts w:ascii="Calibri" w:hAnsi="Calibri" w:cs="Calibri"/>
          <w:sz w:val="22"/>
          <w:szCs w:val="22"/>
          <w:lang w:val="en-GB"/>
        </w:rPr>
        <w:t xml:space="preserve"> revenues were boosted by participation in the 2019/20 Champions League and benefitted from having a calendar year end (to 31 December 2019) and hence their revenues for the period were largely unaffected by the pandemic, whilst the completion of the Bundesliga season within the financial year helped </w:t>
      </w:r>
      <w:proofErr w:type="spellStart"/>
      <w:r w:rsidRPr="00792794">
        <w:rPr>
          <w:rFonts w:ascii="Calibri" w:hAnsi="Calibri" w:cs="Calibri"/>
          <w:sz w:val="22"/>
          <w:szCs w:val="22"/>
          <w:lang w:val="en-GB"/>
        </w:rPr>
        <w:t>Eintracht</w:t>
      </w:r>
      <w:proofErr w:type="spellEnd"/>
      <w:r w:rsidRPr="00792794">
        <w:rPr>
          <w:rFonts w:ascii="Calibri" w:hAnsi="Calibri" w:cs="Calibri"/>
          <w:sz w:val="22"/>
          <w:szCs w:val="22"/>
          <w:lang w:val="en-GB"/>
        </w:rPr>
        <w:t xml:space="preserve"> Frankfurt enter the Money League top 20 for the first time.</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Only two clubs in the Money League top 20, FC </w:t>
      </w:r>
      <w:proofErr w:type="spellStart"/>
      <w:r w:rsidRPr="00792794">
        <w:rPr>
          <w:rFonts w:ascii="Calibri" w:hAnsi="Calibri" w:cs="Calibri"/>
          <w:sz w:val="22"/>
          <w:szCs w:val="22"/>
          <w:lang w:val="en-GB"/>
        </w:rPr>
        <w:t>Zenit</w:t>
      </w:r>
      <w:proofErr w:type="spellEnd"/>
      <w:r w:rsidRPr="00792794">
        <w:rPr>
          <w:rFonts w:ascii="Calibri" w:hAnsi="Calibri" w:cs="Calibri"/>
          <w:sz w:val="22"/>
          <w:szCs w:val="22"/>
          <w:lang w:val="en-GB"/>
        </w:rPr>
        <w:t xml:space="preserve"> and Everton (17</w:t>
      </w:r>
      <w:r w:rsidRPr="00792794">
        <w:rPr>
          <w:rFonts w:ascii="Calibri" w:hAnsi="Calibri" w:cs="Calibri"/>
          <w:sz w:val="22"/>
          <w:szCs w:val="22"/>
          <w:vertAlign w:val="superscript"/>
          <w:lang w:val="en-GB"/>
        </w:rPr>
        <w:t>th</w:t>
      </w:r>
      <w:r w:rsidRPr="00792794">
        <w:rPr>
          <w:rFonts w:ascii="Calibri" w:hAnsi="Calibri" w:cs="Calibri"/>
          <w:sz w:val="22"/>
          <w:szCs w:val="22"/>
          <w:lang w:val="en-GB"/>
        </w:rPr>
        <w:t xml:space="preserve"> - €212m / £185.9m) saw an increase in revenue compared to the previous year. Everton’s marginal revenue growth was driven by the club’s commercial revenue more than doubling to €86.7m (£76m). This was the largest growth (104%) in commercial revenue across all Money League clubs.</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Tim Bridge, director in Deloitte’s Sports Business Group, commented: </w:t>
      </w:r>
      <w:bookmarkStart w:id="1" w:name="_Hlk61449034"/>
      <w:r w:rsidRPr="00792794">
        <w:rPr>
          <w:rFonts w:ascii="Calibri" w:hAnsi="Calibri" w:cs="Calibri"/>
          <w:sz w:val="22"/>
          <w:szCs w:val="22"/>
          <w:lang w:val="en-GB"/>
        </w:rPr>
        <w:t>“The COVID-19 pandemic has provided an impetus for clubs to rethink and recalibrate their wider strategic objectives and business models to ensure a strong recovery from the current situation.</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“In particular, the focus on both internal and external digital capabilities has accelerated as digital interaction has become the dominant way in which clubs can engage with their employees and fans. The most agile, and innovative clubs will be the best placed to deliver the greater value to their key stakeholders and be rewarded with the fastest and strongest recovery.”</w:t>
      </w:r>
      <w:bookmarkEnd w:id="1"/>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b/>
          <w:bCs/>
          <w:sz w:val="22"/>
          <w:szCs w:val="22"/>
          <w:lang w:val="en-GB"/>
        </w:rPr>
      </w:pPr>
      <w:r w:rsidRPr="00792794">
        <w:rPr>
          <w:rFonts w:ascii="Calibri" w:hAnsi="Calibri" w:cs="Calibri"/>
          <w:b/>
          <w:bCs/>
          <w:sz w:val="22"/>
          <w:szCs w:val="22"/>
          <w:lang w:val="en-GB"/>
        </w:rPr>
        <w:t>Future outlook</w:t>
      </w:r>
    </w:p>
    <w:p w:rsidR="00792794" w:rsidRPr="00792794" w:rsidRDefault="00792794" w:rsidP="00792794">
      <w:pPr>
        <w:spacing w:line="252" w:lineRule="auto"/>
        <w:rPr>
          <w:rFonts w:ascii="Calibri" w:hAnsi="Calibri" w:cs="Calibri"/>
          <w:sz w:val="22"/>
          <w:szCs w:val="22"/>
          <w:lang w:val="en-GB"/>
        </w:rPr>
      </w:pPr>
      <w:r w:rsidRPr="00792794">
        <w:rPr>
          <w:rFonts w:ascii="Calibri" w:hAnsi="Calibri" w:cs="Calibri"/>
          <w:sz w:val="22"/>
          <w:szCs w:val="22"/>
          <w:lang w:val="en-GB"/>
        </w:rPr>
        <w:t>Deloitte’s Sports Business Group estimates that this year’s Money League clubs will have missed out on over €2 billion in revenue by the end of the 2020/21 season. This figure includes amounts missed in respect of 2019/20 as a result of the COVID-19 pandemic, primarily due to:</w:t>
      </w:r>
    </w:p>
    <w:p w:rsidR="00792794" w:rsidRPr="00792794" w:rsidRDefault="00792794" w:rsidP="00792794">
      <w:pPr>
        <w:spacing w:line="252" w:lineRule="auto"/>
        <w:rPr>
          <w:rFonts w:ascii="Calibri" w:hAnsi="Calibri" w:cs="Calibri"/>
          <w:sz w:val="22"/>
          <w:szCs w:val="22"/>
          <w:lang w:val="en-GB"/>
        </w:rPr>
      </w:pP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of Money League clubs being close to nil from March 2020 onwards, with fans seemingly unlikely to be able to return in significant numbers for any of the 2020/21 season; </w:t>
      </w:r>
    </w:p>
    <w:p w:rsidR="00792794" w:rsidRPr="00792794" w:rsidRDefault="00792794" w:rsidP="00792794">
      <w:pPr>
        <w:spacing w:line="252" w:lineRule="auto"/>
        <w:rPr>
          <w:rFonts w:ascii="Calibri" w:hAnsi="Calibri" w:cs="Calibri"/>
          <w:sz w:val="22"/>
          <w:szCs w:val="22"/>
          <w:lang w:val="en-GB"/>
        </w:rPr>
      </w:pPr>
      <w:r w:rsidRPr="00792794">
        <w:rPr>
          <w:rFonts w:ascii="Calibri" w:hAnsi="Calibri" w:cs="Calibri"/>
          <w:sz w:val="22"/>
          <w:szCs w:val="22"/>
          <w:lang w:val="en-GB"/>
        </w:rPr>
        <w:t>Broadcast rebates of the ‘big five’ leagues and UEFA reportedly total almost €1.2bn currently, of which a large proportion is borne by Money League clubs; and</w:t>
      </w:r>
    </w:p>
    <w:p w:rsidR="00792794" w:rsidRPr="00792794" w:rsidRDefault="00792794" w:rsidP="00792794">
      <w:pPr>
        <w:spacing w:line="252" w:lineRule="auto"/>
        <w:rPr>
          <w:rFonts w:ascii="Calibri" w:hAnsi="Calibri" w:cs="Calibri"/>
          <w:sz w:val="22"/>
          <w:szCs w:val="22"/>
          <w:lang w:val="en-GB"/>
        </w:rPr>
      </w:pPr>
      <w:r w:rsidRPr="00792794">
        <w:rPr>
          <w:rFonts w:ascii="Calibri" w:hAnsi="Calibri" w:cs="Calibri"/>
          <w:sz w:val="22"/>
          <w:szCs w:val="22"/>
          <w:lang w:val="en-GB"/>
        </w:rPr>
        <w:t>The lost potential to continue their previous growth trajectory over the period.</w:t>
      </w:r>
    </w:p>
    <w:p w:rsidR="00792794" w:rsidRPr="00792794" w:rsidRDefault="00792794" w:rsidP="00792794">
      <w:pPr>
        <w:spacing w:line="252" w:lineRule="auto"/>
        <w:rPr>
          <w:rFonts w:ascii="Calibri" w:hAnsi="Calibri" w:cs="Calibri"/>
          <w:sz w:val="22"/>
          <w:szCs w:val="22"/>
          <w:lang w:val="en-GB"/>
        </w:rPr>
      </w:pPr>
      <w:r w:rsidRPr="00792794">
        <w:rPr>
          <w:rFonts w:ascii="Calibri" w:hAnsi="Calibri" w:cs="Calibri"/>
          <w:sz w:val="22"/>
          <w:szCs w:val="22"/>
          <w:lang w:val="en-GB"/>
        </w:rPr>
        <w:t xml:space="preserve">Jones concluded: “We remain strong believers in the fundamental value of top-level football to fans, broadcasters and other commercial partners. We are confident in the resilience of the industry and expect it to bounce back strongly in future years. </w:t>
      </w: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“The events of the past year have challenged the ability of clubs to drive their own revenue growth. Any short term ambitions they may have had will likely only be achievable as medium term goals once fans return to stadia and the effect of the pandemic on the global economy and the path to recovery from it becomes clearer.</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 xml:space="preserve">“The full financial impact of COVID-19 may not be realised for years to come, with continued uncertainty forcing existing and potential broadcast and commercial partners to consider their investment into sport. Positively for the Football Money League clubs, the global pandemic has highlighted the importance of sport to communities and wider society, reinforcing its fundamental strengths and value to broadcasters and sponsors.” </w:t>
      </w:r>
    </w:p>
    <w:p w:rsidR="00792794" w:rsidRPr="00792794" w:rsidRDefault="00792794" w:rsidP="00792794">
      <w:pPr>
        <w:pStyle w:val="ListBullet"/>
        <w:numPr>
          <w:ilvl w:val="0"/>
          <w:numId w:val="0"/>
        </w:numPr>
        <w:rPr>
          <w:rFonts w:ascii="Calibri" w:hAnsi="Calibri" w:cs="Calibri"/>
          <w:color w:val="FF0000"/>
          <w:sz w:val="22"/>
          <w:szCs w:val="22"/>
          <w:highlight w:val="yellow"/>
          <w:lang w:val="en-GB"/>
        </w:rPr>
      </w:pPr>
    </w:p>
    <w:p w:rsidR="00792794" w:rsidRPr="00792794" w:rsidRDefault="00792794" w:rsidP="00792794">
      <w:pPr>
        <w:pStyle w:val="ListBullet"/>
        <w:numPr>
          <w:ilvl w:val="0"/>
          <w:numId w:val="0"/>
        </w:numPr>
        <w:jc w:val="center"/>
        <w:rPr>
          <w:rFonts w:ascii="Calibri" w:hAnsi="Calibri" w:cs="Calibri"/>
          <w:sz w:val="22"/>
          <w:szCs w:val="22"/>
          <w:lang w:val="en-GB"/>
        </w:rPr>
      </w:pPr>
      <w:r w:rsidRPr="00792794">
        <w:rPr>
          <w:rFonts w:ascii="Calibri" w:hAnsi="Calibri" w:cs="Calibri"/>
          <w:b/>
          <w:bCs/>
          <w:sz w:val="22"/>
          <w:szCs w:val="22"/>
          <w:lang w:val="en-GB"/>
        </w:rPr>
        <w:t>– ENDS –</w:t>
      </w:r>
    </w:p>
    <w:p w:rsidR="00792794" w:rsidRPr="00792794" w:rsidRDefault="00792794" w:rsidP="00792794">
      <w:pPr>
        <w:jc w:val="both"/>
        <w:rPr>
          <w:rFonts w:ascii="Calibri" w:hAnsi="Calibri" w:cs="Calibri"/>
          <w:b/>
          <w:bCs/>
          <w:sz w:val="22"/>
          <w:szCs w:val="22"/>
          <w:lang w:val="en-GB"/>
        </w:rPr>
      </w:pPr>
      <w:r w:rsidRPr="00792794">
        <w:rPr>
          <w:rFonts w:ascii="Calibri" w:hAnsi="Calibri" w:cs="Calibri"/>
          <w:b/>
          <w:bCs/>
          <w:sz w:val="22"/>
          <w:szCs w:val="22"/>
          <w:lang w:val="en-GB"/>
        </w:rPr>
        <w:t>Notes to editors:</w:t>
      </w:r>
    </w:p>
    <w:p w:rsidR="00792794" w:rsidRPr="00792794" w:rsidRDefault="00792794" w:rsidP="00792794">
      <w:pPr>
        <w:jc w:val="both"/>
        <w:rPr>
          <w:rFonts w:ascii="Calibri" w:hAnsi="Calibri" w:cs="Calibri"/>
          <w:sz w:val="22"/>
          <w:szCs w:val="22"/>
          <w:lang w:val="en-GB"/>
        </w:rPr>
      </w:pPr>
    </w:p>
    <w:p w:rsidR="00792794" w:rsidRPr="00792794" w:rsidRDefault="00792794" w:rsidP="00792794">
      <w:pPr>
        <w:rPr>
          <w:rStyle w:val="Hyperlink"/>
          <w:rFonts w:ascii="Calibri" w:hAnsi="Calibri" w:cs="Calibri"/>
          <w:sz w:val="22"/>
          <w:szCs w:val="22"/>
          <w:lang w:val="cs-CZ"/>
        </w:rPr>
      </w:pPr>
      <w:r w:rsidRPr="00792794">
        <w:rPr>
          <w:rFonts w:ascii="Calibri" w:hAnsi="Calibri" w:cs="Calibri"/>
          <w:sz w:val="22"/>
          <w:szCs w:val="22"/>
          <w:lang w:val="en-GB"/>
        </w:rPr>
        <w:t xml:space="preserve">To review the full findings of the </w:t>
      </w:r>
      <w:r w:rsidRPr="00792794">
        <w:rPr>
          <w:rFonts w:ascii="Calibri" w:hAnsi="Calibri" w:cs="Calibri"/>
          <w:i/>
          <w:iCs/>
          <w:sz w:val="22"/>
          <w:szCs w:val="22"/>
          <w:lang w:val="en-GB"/>
        </w:rPr>
        <w:t>Deloitte Football Money League</w:t>
      </w:r>
      <w:r w:rsidRPr="00792794">
        <w:rPr>
          <w:rFonts w:ascii="Calibri" w:hAnsi="Calibri" w:cs="Calibri"/>
          <w:sz w:val="22"/>
          <w:szCs w:val="22"/>
          <w:lang w:val="en-GB"/>
        </w:rPr>
        <w:t xml:space="preserve">, please visit: </w:t>
      </w:r>
    </w:p>
    <w:p w:rsidR="00792794" w:rsidRPr="00792794" w:rsidRDefault="00792794" w:rsidP="00792794">
      <w:pPr>
        <w:rPr>
          <w:rFonts w:ascii="Calibri" w:hAnsi="Calibri" w:cs="Calibri"/>
          <w:sz w:val="22"/>
          <w:szCs w:val="22"/>
        </w:rPr>
      </w:pPr>
      <w:hyperlink r:id="rId11" w:history="1">
        <w:r w:rsidRPr="00792794">
          <w:rPr>
            <w:rStyle w:val="Hyperlink"/>
            <w:rFonts w:ascii="Calibri" w:hAnsi="Calibri" w:cs="Calibri"/>
            <w:sz w:val="22"/>
            <w:szCs w:val="22"/>
            <w:lang w:val="en-GB"/>
          </w:rPr>
          <w:t>www.deloitte.co.uk/dfml</w:t>
        </w:r>
      </w:hyperlink>
      <w:r w:rsidRPr="00792794">
        <w:rPr>
          <w:rFonts w:ascii="Calibri" w:hAnsi="Calibri" w:cs="Calibri"/>
          <w:sz w:val="22"/>
          <w:szCs w:val="22"/>
          <w:lang w:val="en-GB"/>
        </w:rPr>
        <w:t>.</w:t>
      </w:r>
    </w:p>
    <w:p w:rsidR="00792794" w:rsidRPr="00792794" w:rsidRDefault="00792794" w:rsidP="00792794">
      <w:pPr>
        <w:rPr>
          <w:rFonts w:ascii="Calibri" w:hAnsi="Calibri" w:cs="Calibri"/>
          <w:sz w:val="22"/>
          <w:szCs w:val="22"/>
          <w:lang w:val="en-GB"/>
        </w:rPr>
      </w:pPr>
    </w:p>
    <w:p w:rsidR="00792794" w:rsidRPr="00792794" w:rsidRDefault="00792794" w:rsidP="00792794">
      <w:pPr>
        <w:pStyle w:val="ListBullet"/>
        <w:numPr>
          <w:ilvl w:val="0"/>
          <w:numId w:val="0"/>
        </w:numPr>
        <w:rPr>
          <w:rFonts w:ascii="Calibri" w:hAnsi="Calibri" w:cs="Calibri"/>
          <w:sz w:val="22"/>
          <w:szCs w:val="22"/>
          <w:lang w:val="en-GB"/>
        </w:rPr>
      </w:pPr>
      <w:r w:rsidRPr="00792794">
        <w:rPr>
          <w:rFonts w:ascii="Calibri" w:hAnsi="Calibri" w:cs="Calibri"/>
          <w:sz w:val="22"/>
          <w:szCs w:val="22"/>
          <w:lang w:val="en-GB"/>
        </w:rPr>
        <w:t>Governments around the world responded to the pandemic in different ways at different speeds and to different degrees, including enforcing national lockdowns, closing sports venues and stadia, and on the whole, at least initially, prohibiting sporting events. For those that did see the return of professional football, extended restrictions on mass gatherings and non-essential travel meant that in most cases fans were not able to attend matches, or where they were able to, in very limited numbers.</w:t>
      </w:r>
    </w:p>
    <w:p w:rsidR="00792794" w:rsidRPr="00792794" w:rsidRDefault="00792794" w:rsidP="00792794">
      <w:pPr>
        <w:pStyle w:val="ListBullet"/>
        <w:numPr>
          <w:ilvl w:val="0"/>
          <w:numId w:val="0"/>
        </w:num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Leagues across the world also had different ways of adapting to the challenges faced. These varied from postponement to termination (with final standings determined using different methodologies) to others being annulled entirely. Each outcome had ramifications with broadcast and commercial partners alike, many of which sought rebates on rights fees as a result of changes to the delivery of the on-pitch product. </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b/>
          <w:bCs/>
          <w:sz w:val="22"/>
          <w:szCs w:val="22"/>
          <w:lang w:val="en-GB"/>
        </w:rPr>
      </w:pPr>
      <w:r w:rsidRPr="00792794">
        <w:rPr>
          <w:rFonts w:ascii="Calibri" w:hAnsi="Calibri" w:cs="Calibri"/>
          <w:sz w:val="22"/>
          <w:szCs w:val="22"/>
          <w:lang w:val="en-GB"/>
        </w:rPr>
        <w:t>The table below summarises the impact of COVID-19 on the 2019/20 seasonal calendar and broadcast rights across leagues that contain clubs in this year’s publication.</w:t>
      </w:r>
    </w:p>
    <w:p w:rsidR="00792794" w:rsidRPr="00792794" w:rsidRDefault="00792794" w:rsidP="00792794">
      <w:pPr>
        <w:rPr>
          <w:rFonts w:ascii="Calibri" w:hAnsi="Calibri" w:cs="Calibri"/>
          <w:b/>
          <w:bCs/>
          <w:sz w:val="22"/>
          <w:szCs w:val="22"/>
          <w:lang w:val="en-GB"/>
        </w:rPr>
      </w:pPr>
    </w:p>
    <w:tbl>
      <w:tblPr>
        <w:tblW w:w="9493" w:type="dxa"/>
        <w:tblCellMar>
          <w:left w:w="0" w:type="dxa"/>
          <w:right w:w="0" w:type="dxa"/>
        </w:tblCellMar>
        <w:tblLook w:val="04A0" w:firstRow="1" w:lastRow="0" w:firstColumn="1" w:lastColumn="0" w:noHBand="0" w:noVBand="1"/>
      </w:tblPr>
      <w:tblGrid>
        <w:gridCol w:w="1419"/>
        <w:gridCol w:w="1558"/>
        <w:gridCol w:w="1416"/>
        <w:gridCol w:w="1418"/>
        <w:gridCol w:w="3682"/>
      </w:tblGrid>
      <w:tr w:rsidR="00792794" w:rsidRPr="00792794" w:rsidTr="00792794">
        <w:tc>
          <w:tcPr>
            <w:tcW w:w="14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lang w:val="cs-CZ"/>
              </w:rPr>
            </w:pPr>
            <w:r w:rsidRPr="00792794">
              <w:rPr>
                <w:rFonts w:ascii="Calibri" w:hAnsi="Calibri" w:cs="Calibri"/>
                <w:b/>
                <w:bCs/>
                <w:sz w:val="22"/>
                <w:szCs w:val="22"/>
              </w:rPr>
              <w:t>League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Date season postponed</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Date season resumed</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Date season completed</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Broadcast implications</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Premier League</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Style w:val="A2"/>
                <w:rFonts w:ascii="Calibri" w:hAnsi="Calibri" w:cs="Calibri"/>
                <w:sz w:val="22"/>
                <w:szCs w:val="22"/>
              </w:rPr>
              <w:t>13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17 June 2020 (behind closed doors)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26 July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over two financial years. Rebates shared proportionately between clubs, with cash flow impact deferred over the remaining period of the rights cycle.</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 xml:space="preserve">La </w:t>
            </w:r>
            <w:proofErr w:type="spellStart"/>
            <w:r w:rsidRPr="00792794">
              <w:rPr>
                <w:rFonts w:ascii="Calibri" w:hAnsi="Calibri" w:cs="Calibri"/>
                <w:b/>
                <w:bCs/>
                <w:sz w:val="22"/>
                <w:szCs w:val="22"/>
              </w:rPr>
              <w:t>Liga</w:t>
            </w:r>
            <w:proofErr w:type="spellEnd"/>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12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11 June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19 July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over two financial years. Rebates split between all clubs.</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Bundesliga</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13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16 May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27 June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largely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in one financial year. Minimal rebates.</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proofErr w:type="spellStart"/>
            <w:r w:rsidRPr="00792794">
              <w:rPr>
                <w:rFonts w:ascii="Calibri" w:hAnsi="Calibri" w:cs="Calibri"/>
                <w:b/>
                <w:bCs/>
                <w:sz w:val="22"/>
                <w:szCs w:val="22"/>
              </w:rPr>
              <w:t>Serie</w:t>
            </w:r>
            <w:proofErr w:type="spellEnd"/>
            <w:r w:rsidRPr="00792794">
              <w:rPr>
                <w:rFonts w:ascii="Calibri" w:hAnsi="Calibri" w:cs="Calibri"/>
                <w:b/>
                <w:bCs/>
                <w:sz w:val="22"/>
                <w:szCs w:val="22"/>
              </w:rPr>
              <w:t xml:space="preserve"> A</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9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20 June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 August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(behind closed doors)</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over two financial years. Rebates to be determined.</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proofErr w:type="spellStart"/>
            <w:r w:rsidRPr="00792794">
              <w:rPr>
                <w:rFonts w:ascii="Calibri" w:hAnsi="Calibri" w:cs="Calibri"/>
                <w:b/>
                <w:bCs/>
                <w:sz w:val="22"/>
                <w:szCs w:val="22"/>
              </w:rPr>
              <w:t>Ligue</w:t>
            </w:r>
            <w:proofErr w:type="spellEnd"/>
            <w:r w:rsidRPr="00792794">
              <w:rPr>
                <w:rFonts w:ascii="Calibri" w:hAnsi="Calibri" w:cs="Calibri"/>
                <w:b/>
                <w:bCs/>
                <w:sz w:val="22"/>
                <w:szCs w:val="22"/>
              </w:rPr>
              <w:t xml:space="preserve"> 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13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Season cancelled 28 April 2020</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in one financial year. Rebates split between all clubs. LFP secured government guaranteed loans make up for the shortfall in distributions to clubs.</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Russian Premier League</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17 March 2020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19 June 2020 (c.10% capacity)</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22 July 2020</w:t>
            </w:r>
          </w:p>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(c.10% capacity)</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for 2019/20 season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over two financial years.</w:t>
            </w:r>
          </w:p>
        </w:tc>
      </w:tr>
      <w:tr w:rsidR="00792794" w:rsidRPr="00792794" w:rsidTr="00792794">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b/>
                <w:bCs/>
                <w:sz w:val="22"/>
                <w:szCs w:val="22"/>
              </w:rPr>
            </w:pPr>
            <w:r w:rsidRPr="00792794">
              <w:rPr>
                <w:rFonts w:ascii="Calibri" w:hAnsi="Calibri" w:cs="Calibri"/>
                <w:b/>
                <w:bCs/>
                <w:sz w:val="22"/>
                <w:szCs w:val="22"/>
              </w:rPr>
              <w:t>UEFA club competitions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Mid-March (part way through the Round of 16)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7 August (behind closed doors)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23 August 2020 (behind closed doors)</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792794" w:rsidRPr="00792794" w:rsidRDefault="00792794" w:rsidP="00792794">
            <w:pPr>
              <w:spacing w:line="252" w:lineRule="auto"/>
              <w:rPr>
                <w:rFonts w:ascii="Calibri" w:hAnsi="Calibri" w:cs="Calibri"/>
                <w:sz w:val="22"/>
                <w:szCs w:val="22"/>
              </w:rPr>
            </w:pPr>
            <w:r w:rsidRPr="00792794">
              <w:rPr>
                <w:rFonts w:ascii="Calibri" w:hAnsi="Calibri" w:cs="Calibri"/>
                <w:sz w:val="22"/>
                <w:szCs w:val="22"/>
              </w:rPr>
              <w:t xml:space="preserve">Broadcast revenue largely </w:t>
            </w:r>
            <w:proofErr w:type="spellStart"/>
            <w:r w:rsidRPr="00792794">
              <w:rPr>
                <w:rFonts w:ascii="Calibri" w:hAnsi="Calibri" w:cs="Calibri"/>
                <w:sz w:val="22"/>
                <w:szCs w:val="22"/>
              </w:rPr>
              <w:t>recognised</w:t>
            </w:r>
            <w:proofErr w:type="spellEnd"/>
            <w:r w:rsidRPr="00792794">
              <w:rPr>
                <w:rFonts w:ascii="Calibri" w:hAnsi="Calibri" w:cs="Calibri"/>
                <w:sz w:val="22"/>
                <w:szCs w:val="22"/>
              </w:rPr>
              <w:t xml:space="preserve"> in one financial year for clubs knocked out of 2019/20 competitions prior to postponement and over two financial years for those competing after the postponement.</w:t>
            </w:r>
          </w:p>
        </w:tc>
      </w:tr>
    </w:tbl>
    <w:p w:rsidR="00792794" w:rsidRPr="00792794" w:rsidRDefault="00792794" w:rsidP="00792794">
      <w:pPr>
        <w:rPr>
          <w:rFonts w:ascii="Calibri" w:eastAsiaTheme="minorHAnsi" w:hAnsi="Calibri" w:cs="Calibri"/>
          <w:b/>
          <w:bCs/>
          <w:sz w:val="22"/>
          <w:szCs w:val="22"/>
          <w:lang w:val="en-GB"/>
        </w:rPr>
      </w:pPr>
    </w:p>
    <w:p w:rsidR="00792794" w:rsidRPr="00792794" w:rsidRDefault="00792794" w:rsidP="00792794">
      <w:pPr>
        <w:rPr>
          <w:rFonts w:ascii="Calibri" w:hAnsi="Calibri" w:cs="Calibri"/>
          <w:b/>
          <w:bCs/>
          <w:sz w:val="22"/>
          <w:szCs w:val="22"/>
          <w:lang w:val="en-GB"/>
        </w:rPr>
      </w:pPr>
    </w:p>
    <w:p w:rsidR="00792794" w:rsidRPr="00792794" w:rsidRDefault="00792794" w:rsidP="00792794">
      <w:pPr>
        <w:rPr>
          <w:rFonts w:ascii="Calibri" w:hAnsi="Calibri" w:cs="Calibri"/>
          <w:sz w:val="22"/>
          <w:szCs w:val="22"/>
          <w:lang w:val="en-GB" w:eastAsia="en-GB"/>
        </w:rPr>
      </w:pPr>
      <w:r w:rsidRPr="00792794">
        <w:rPr>
          <w:rFonts w:ascii="Calibri" w:hAnsi="Calibri" w:cs="Calibri"/>
          <w:sz w:val="22"/>
          <w:szCs w:val="22"/>
          <w:lang w:val="en-GB"/>
        </w:rPr>
        <w:t xml:space="preserve">Negotiations are ongoing with broadcasters in respect of the disrupted 2019/20 season, however, broadcast rebates currently total almost €600m across some of the biggest leagues, including the Premier League (reportedly up to c.£330m / c.€376m), La </w:t>
      </w:r>
      <w:proofErr w:type="spellStart"/>
      <w:r w:rsidRPr="00792794">
        <w:rPr>
          <w:rFonts w:ascii="Calibri" w:hAnsi="Calibri" w:cs="Calibri"/>
          <w:sz w:val="22"/>
          <w:szCs w:val="22"/>
          <w:lang w:val="en-GB"/>
        </w:rPr>
        <w:t>Liga</w:t>
      </w:r>
      <w:proofErr w:type="spellEnd"/>
      <w:r w:rsidRPr="00792794">
        <w:rPr>
          <w:rFonts w:ascii="Calibri" w:hAnsi="Calibri" w:cs="Calibri"/>
          <w:sz w:val="22"/>
          <w:szCs w:val="22"/>
          <w:lang w:val="en-GB"/>
        </w:rPr>
        <w:t xml:space="preserve"> (c.€100m) and </w:t>
      </w:r>
      <w:proofErr w:type="spellStart"/>
      <w:r w:rsidRPr="00792794">
        <w:rPr>
          <w:rFonts w:ascii="Calibri" w:hAnsi="Calibri" w:cs="Calibri"/>
          <w:sz w:val="22"/>
          <w:szCs w:val="22"/>
          <w:lang w:val="en-GB"/>
        </w:rPr>
        <w:t>Ligue</w:t>
      </w:r>
      <w:proofErr w:type="spellEnd"/>
      <w:r w:rsidRPr="00792794">
        <w:rPr>
          <w:rFonts w:ascii="Calibri" w:hAnsi="Calibri" w:cs="Calibri"/>
          <w:sz w:val="22"/>
          <w:szCs w:val="22"/>
          <w:lang w:val="en-GB"/>
        </w:rPr>
        <w:t xml:space="preserve"> 1 (c.€123m) as well as a reported €575m rebate to UEFA broadcasters. The result of the </w:t>
      </w:r>
      <w:proofErr w:type="spellStart"/>
      <w:r w:rsidRPr="00792794">
        <w:rPr>
          <w:rFonts w:ascii="Calibri" w:hAnsi="Calibri" w:cs="Calibri"/>
          <w:sz w:val="22"/>
          <w:szCs w:val="22"/>
          <w:lang w:val="en-GB"/>
        </w:rPr>
        <w:t>Serie</w:t>
      </w:r>
      <w:proofErr w:type="spellEnd"/>
      <w:r w:rsidRPr="00792794">
        <w:rPr>
          <w:rFonts w:ascii="Calibri" w:hAnsi="Calibri" w:cs="Calibri"/>
          <w:sz w:val="22"/>
          <w:szCs w:val="22"/>
          <w:lang w:val="en-GB"/>
        </w:rPr>
        <w:t xml:space="preserve"> A court ruling regarding Sky Italia’s withholding of a final €130m instalment for the 2019/20 season is yet to be determined. </w:t>
      </w:r>
    </w:p>
    <w:p w:rsidR="00792794" w:rsidRPr="00792794" w:rsidRDefault="00792794" w:rsidP="00792794">
      <w:pPr>
        <w:rPr>
          <w:rFonts w:ascii="Calibri" w:hAnsi="Calibri" w:cs="Calibri"/>
          <w:b/>
          <w:bCs/>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A substantial proportion of broadcast revenue has been deferred into the 2020/21 financial year reflecting the extended 2019/20 season spanning two financial years. This means that the next edition of the Money League is likely to be a “bumper year” for broadcast revenue – assuming no further disruption and delay – as clubs also recognise a full-season of 2020/21 broadcast distributions. On the other hand, </w:t>
      </w:r>
      <w:proofErr w:type="spellStart"/>
      <w:r w:rsidRPr="00792794">
        <w:rPr>
          <w:rFonts w:ascii="Calibri" w:hAnsi="Calibri" w:cs="Calibri"/>
          <w:sz w:val="22"/>
          <w:szCs w:val="22"/>
          <w:lang w:val="en-GB"/>
        </w:rPr>
        <w:t>matchday</w:t>
      </w:r>
      <w:proofErr w:type="spellEnd"/>
      <w:r w:rsidRPr="00792794">
        <w:rPr>
          <w:rFonts w:ascii="Calibri" w:hAnsi="Calibri" w:cs="Calibri"/>
          <w:sz w:val="22"/>
          <w:szCs w:val="22"/>
          <w:lang w:val="en-GB"/>
        </w:rPr>
        <w:t xml:space="preserve"> revenue will likely be near to nil for the whole 2020/21 season and financial year after having only been reduced for a comparatively small portion of the 2019/20 season and financial year.</w:t>
      </w:r>
    </w:p>
    <w:p w:rsidR="00792794" w:rsidRPr="00792794" w:rsidRDefault="00792794" w:rsidP="00792794">
      <w:pPr>
        <w:rPr>
          <w:rFonts w:ascii="Calibri" w:hAnsi="Calibri" w:cs="Calibri"/>
          <w:sz w:val="22"/>
          <w:szCs w:val="22"/>
          <w:lang w:val="en-GB"/>
        </w:rPr>
      </w:pPr>
    </w:p>
    <w:tbl>
      <w:tblPr>
        <w:tblW w:w="9475" w:type="dxa"/>
        <w:tblCellMar>
          <w:left w:w="0" w:type="dxa"/>
          <w:right w:w="0" w:type="dxa"/>
        </w:tblCellMar>
        <w:tblLook w:val="04A0" w:firstRow="1" w:lastRow="0" w:firstColumn="1" w:lastColumn="0" w:noHBand="0" w:noVBand="1"/>
      </w:tblPr>
      <w:tblGrid>
        <w:gridCol w:w="1368"/>
        <w:gridCol w:w="2764"/>
        <w:gridCol w:w="1781"/>
        <w:gridCol w:w="1781"/>
        <w:gridCol w:w="1781"/>
      </w:tblGrid>
      <w:tr w:rsidR="00792794" w:rsidRPr="00792794" w:rsidTr="00792794">
        <w:trPr>
          <w:trHeight w:val="557"/>
        </w:trPr>
        <w:tc>
          <w:tcPr>
            <w:tcW w:w="13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b/>
                <w:bCs/>
                <w:color w:val="000000"/>
                <w:sz w:val="22"/>
                <w:szCs w:val="22"/>
                <w:lang w:val="cs-CZ"/>
              </w:rPr>
            </w:pPr>
            <w:r w:rsidRPr="00792794">
              <w:rPr>
                <w:rFonts w:ascii="Calibri" w:hAnsi="Calibri" w:cs="Calibri"/>
                <w:b/>
                <w:bCs/>
                <w:color w:val="000000"/>
                <w:sz w:val="22"/>
                <w:szCs w:val="22"/>
              </w:rPr>
              <w:t>Position (last year’s position)</w:t>
            </w:r>
          </w:p>
        </w:tc>
        <w:tc>
          <w:tcPr>
            <w:tcW w:w="27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b/>
                <w:bCs/>
                <w:color w:val="000000"/>
                <w:sz w:val="22"/>
                <w:szCs w:val="22"/>
              </w:rPr>
            </w:pPr>
            <w:r w:rsidRPr="00792794">
              <w:rPr>
                <w:rFonts w:ascii="Calibri" w:hAnsi="Calibri" w:cs="Calibri"/>
                <w:b/>
                <w:bCs/>
                <w:color w:val="000000"/>
                <w:sz w:val="22"/>
                <w:szCs w:val="22"/>
              </w:rPr>
              <w:t>Club</w:t>
            </w:r>
          </w:p>
        </w:tc>
        <w:tc>
          <w:tcPr>
            <w:tcW w:w="17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b/>
                <w:bCs/>
                <w:color w:val="000000"/>
                <w:sz w:val="22"/>
                <w:szCs w:val="22"/>
              </w:rPr>
            </w:pPr>
            <w:r w:rsidRPr="00792794">
              <w:rPr>
                <w:rFonts w:ascii="Calibri" w:hAnsi="Calibri" w:cs="Calibri"/>
                <w:b/>
                <w:bCs/>
                <w:color w:val="000000"/>
                <w:sz w:val="22"/>
                <w:szCs w:val="22"/>
              </w:rPr>
              <w:t>2019/20 Revenue (€m) (2018/19 Revenue)</w:t>
            </w:r>
          </w:p>
        </w:tc>
        <w:tc>
          <w:tcPr>
            <w:tcW w:w="17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b/>
                <w:bCs/>
                <w:color w:val="000000"/>
                <w:sz w:val="22"/>
                <w:szCs w:val="22"/>
              </w:rPr>
            </w:pPr>
            <w:r w:rsidRPr="00792794">
              <w:rPr>
                <w:rFonts w:ascii="Calibri" w:hAnsi="Calibri" w:cs="Calibri"/>
                <w:b/>
                <w:bCs/>
                <w:color w:val="000000"/>
                <w:sz w:val="22"/>
                <w:szCs w:val="22"/>
              </w:rPr>
              <w:t>2019/20 Revenue (£m) (2018/19 Revenue)</w:t>
            </w:r>
          </w:p>
        </w:tc>
        <w:tc>
          <w:tcPr>
            <w:tcW w:w="17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b/>
                <w:bCs/>
                <w:color w:val="000000"/>
                <w:sz w:val="22"/>
                <w:szCs w:val="22"/>
              </w:rPr>
            </w:pPr>
            <w:r w:rsidRPr="00792794">
              <w:rPr>
                <w:rFonts w:ascii="Calibri" w:hAnsi="Calibri" w:cs="Calibri"/>
                <w:b/>
                <w:bCs/>
                <w:color w:val="000000"/>
                <w:sz w:val="22"/>
                <w:szCs w:val="22"/>
              </w:rPr>
              <w:t>2019/20 Revenue ($m) (2018/19 Revenue)</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 (1)</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FC Barcelona</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715.1 (840.8)</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627.1 (741.1)</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790.5 (959.3)</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 (2)</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Real Madrid</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714.9 (757.3)</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627 (667.5)</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790.3 (864)</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 (4)</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Bayern Munich</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634.1 (660.1)</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556.1 (581.8)</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701 (753.1)</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 (3)</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Manchester United</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580.4 (711.5)</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509 (627.1)</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641.6 (811.7)</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 (7)</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Liverpool</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558.6 (604.7)</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489.9 (533)</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617.5 (689.9)</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 (6)</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Manchester City</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549.2 (610.6)</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481.6 (538.2)</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607 (696.6)</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7 (5)</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Paris Saint-Germain</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540.6 (635.9)</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474.1 (560.5)</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597.6 (725.5)</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8 (9)</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Chelsea</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469.7 (513.1)</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411.9 (452.2)</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519.2 (585.3)</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9 (8)</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Tottenham</w:t>
            </w:r>
            <w:proofErr w:type="spellEnd"/>
            <w:r w:rsidRPr="00792794">
              <w:rPr>
                <w:rFonts w:ascii="Calibri" w:hAnsi="Calibri" w:cs="Calibri"/>
                <w:color w:val="000000"/>
                <w:sz w:val="22"/>
                <w:szCs w:val="22"/>
              </w:rPr>
              <w:t xml:space="preserve"> Hotspur</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445.7 (521.1)</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390.9 (459.3)</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492.7 (594.5)</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10 (10)</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Juventus</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397.9 (459.7)</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349 (405.2)</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439.9 (524.5)</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11 (11)</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Arsenal</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388 (445.2)</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340.3 (392.4)</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428.9 (507.9)</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12 (12)</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Borussia Dortmund</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365.7 (371.7)</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320.7 (327.6)</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404.3 (424.1)</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13 (13)</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Atlético</w:t>
            </w:r>
            <w:proofErr w:type="spellEnd"/>
            <w:r w:rsidRPr="00792794">
              <w:rPr>
                <w:rFonts w:ascii="Calibri" w:hAnsi="Calibri" w:cs="Calibri"/>
                <w:color w:val="000000"/>
                <w:sz w:val="22"/>
                <w:szCs w:val="22"/>
              </w:rPr>
              <w:t xml:space="preserve"> de Madrid</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331.8 (367.6)</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291 (324)</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366.8 (419.4)</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14 (14)</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Internazionale</w:t>
            </w:r>
            <w:proofErr w:type="spellEnd"/>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291.5 (364.6)</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255.6 (321.3)</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322.2 (416)</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15 (28)</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 xml:space="preserve">FC </w:t>
            </w:r>
            <w:proofErr w:type="spellStart"/>
            <w:r w:rsidRPr="00792794">
              <w:rPr>
                <w:rFonts w:ascii="Calibri" w:hAnsi="Calibri" w:cs="Calibri"/>
                <w:color w:val="000000"/>
                <w:sz w:val="22"/>
                <w:szCs w:val="22"/>
              </w:rPr>
              <w:t>Zenit</w:t>
            </w:r>
            <w:proofErr w:type="spellEnd"/>
            <w:r w:rsidRPr="00792794">
              <w:rPr>
                <w:rFonts w:ascii="Calibri" w:hAnsi="Calibri" w:cs="Calibri"/>
                <w:color w:val="000000"/>
                <w:sz w:val="22"/>
                <w:szCs w:val="22"/>
              </w:rPr>
              <w:t xml:space="preserve"> </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236.5 (180.4)</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207.4 (159)</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261.4 (205.8)</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16 (15)</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Schalke</w:t>
            </w:r>
            <w:proofErr w:type="spellEnd"/>
            <w:r w:rsidRPr="00792794">
              <w:rPr>
                <w:rFonts w:ascii="Calibri" w:hAnsi="Calibri" w:cs="Calibri"/>
                <w:color w:val="000000"/>
                <w:sz w:val="22"/>
                <w:szCs w:val="22"/>
              </w:rPr>
              <w:t xml:space="preserve"> 04</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222.8 (324.8)</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195.4 (286.3)</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246.3 (370.6)</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17 (19)</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Everton</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212 (210.5)</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185.9 (185.5)</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234.3 (240.1)</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18 (17)</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Olympique</w:t>
            </w:r>
            <w:proofErr w:type="spellEnd"/>
            <w:r w:rsidRPr="00792794">
              <w:rPr>
                <w:rFonts w:ascii="Calibri" w:hAnsi="Calibri" w:cs="Calibri"/>
                <w:color w:val="000000"/>
                <w:sz w:val="22"/>
                <w:szCs w:val="22"/>
              </w:rPr>
              <w:t xml:space="preserve"> Lyonnais</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180.7 (220.9)</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158.5 (194.7)</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199.8 (252)</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19 (20)</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Napoli</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176.3 (207.4)</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154.6 (182.8)</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194.9 (236.6)</w:t>
            </w:r>
          </w:p>
        </w:tc>
      </w:tr>
      <w:tr w:rsidR="00792794" w:rsidRPr="00792794" w:rsidTr="00792794">
        <w:trPr>
          <w:trHeight w:val="328"/>
        </w:trPr>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20 (27)</w:t>
            </w:r>
          </w:p>
        </w:tc>
        <w:tc>
          <w:tcPr>
            <w:tcW w:w="27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proofErr w:type="spellStart"/>
            <w:r w:rsidRPr="00792794">
              <w:rPr>
                <w:rFonts w:ascii="Calibri" w:hAnsi="Calibri" w:cs="Calibri"/>
                <w:color w:val="000000"/>
                <w:sz w:val="22"/>
                <w:szCs w:val="22"/>
              </w:rPr>
              <w:t>Eintracht</w:t>
            </w:r>
            <w:proofErr w:type="spellEnd"/>
            <w:r w:rsidRPr="00792794">
              <w:rPr>
                <w:rFonts w:ascii="Calibri" w:hAnsi="Calibri" w:cs="Calibri"/>
                <w:color w:val="000000"/>
                <w:sz w:val="22"/>
                <w:szCs w:val="22"/>
              </w:rPr>
              <w:t xml:space="preserve"> Frankfurt</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174 (182.2)</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152.6 (160.6)</w:t>
            </w:r>
          </w:p>
        </w:tc>
        <w:tc>
          <w:tcPr>
            <w:tcW w:w="1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2794" w:rsidRPr="00792794" w:rsidRDefault="00792794" w:rsidP="00792794">
            <w:pPr>
              <w:spacing w:line="252" w:lineRule="auto"/>
              <w:jc w:val="center"/>
              <w:rPr>
                <w:rFonts w:ascii="Calibri" w:hAnsi="Calibri" w:cs="Calibri"/>
                <w:color w:val="000000"/>
                <w:sz w:val="22"/>
                <w:szCs w:val="22"/>
              </w:rPr>
            </w:pPr>
            <w:r w:rsidRPr="00792794">
              <w:rPr>
                <w:rFonts w:ascii="Calibri" w:hAnsi="Calibri" w:cs="Calibri"/>
                <w:color w:val="000000"/>
                <w:sz w:val="22"/>
                <w:szCs w:val="22"/>
              </w:rPr>
              <w:t>192.4 (207.9)</w:t>
            </w:r>
          </w:p>
        </w:tc>
      </w:tr>
    </w:tbl>
    <w:p w:rsidR="00792794" w:rsidRPr="00792794" w:rsidRDefault="00792794" w:rsidP="00792794">
      <w:pPr>
        <w:jc w:val="both"/>
        <w:rPr>
          <w:rFonts w:ascii="Calibri" w:eastAsiaTheme="minorHAnsi" w:hAnsi="Calibri" w:cs="Calibri"/>
          <w:b/>
          <w:bCs/>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This press release is based on the </w:t>
      </w:r>
      <w:r w:rsidRPr="00792794">
        <w:rPr>
          <w:rFonts w:ascii="Calibri" w:hAnsi="Calibri" w:cs="Calibri"/>
          <w:i/>
          <w:iCs/>
          <w:sz w:val="22"/>
          <w:szCs w:val="22"/>
          <w:lang w:val="en-GB"/>
        </w:rPr>
        <w:t>Deloitte Football Money League</w:t>
      </w:r>
      <w:r w:rsidRPr="00792794">
        <w:rPr>
          <w:rFonts w:ascii="Calibri" w:hAnsi="Calibri" w:cs="Calibri"/>
          <w:sz w:val="22"/>
          <w:szCs w:val="22"/>
          <w:lang w:val="en-GB"/>
        </w:rPr>
        <w:t xml:space="preserve"> published in January 2021. As explained further in the publication, the revenue figures are extracted from the annual financial statements of the company or group in respect of each club, or other direct sources, for the financial year ending in 2020, which covered the majority of the 2019/20 football season. For some clubs the extension of the 2019/20 season will result in a proportion of revenue relating to the 2019/20 season instead being recognised in the annual financial statements of the company or group in respect of each club for the financial year ending in 2021. For the avoidance of doubt, we have not made any adjustments to reflect all revenue in respect of the 2019/20 season in the financial year ending in 2020.</w:t>
      </w:r>
    </w:p>
    <w:p w:rsidR="00792794" w:rsidRPr="00792794" w:rsidRDefault="00792794" w:rsidP="00792794">
      <w:pPr>
        <w:rPr>
          <w:rFonts w:ascii="Calibri" w:hAnsi="Calibri" w:cs="Calibri"/>
          <w:sz w:val="22"/>
          <w:szCs w:val="22"/>
          <w:lang w:val="en-GB" w:eastAsia="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There are many ways of examining the relative wealth or value of football clubs. For the </w:t>
      </w:r>
      <w:r w:rsidRPr="00792794">
        <w:rPr>
          <w:rFonts w:ascii="Calibri" w:hAnsi="Calibri" w:cs="Calibri"/>
          <w:i/>
          <w:iCs/>
          <w:sz w:val="22"/>
          <w:szCs w:val="22"/>
          <w:lang w:val="en-GB"/>
        </w:rPr>
        <w:t>Deloitte Football Money League</w:t>
      </w:r>
      <w:r w:rsidRPr="00792794">
        <w:rPr>
          <w:rFonts w:ascii="Calibri" w:hAnsi="Calibri" w:cs="Calibri"/>
          <w:sz w:val="22"/>
          <w:szCs w:val="22"/>
          <w:lang w:val="en-GB"/>
        </w:rPr>
        <w:t xml:space="preserve">, revenue has been used as the most easily available and comparable measure of financial performance.  </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Revenue excludes player transfer fees, VAT and other sales related taxes. In a few cases we have made adjustments to total revenue figures to enable, in our view, a more meaningful comparison of the football business on a club-by-club basis.  </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We have not performed any verification work or audited any of the information contained in the financial statements or other sources in respect of each club for the purpose of the publication.</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For the purpose of the international comparisons, unless otherwise stated, all figures for the financial year ending in 2020 have been translated at the average exchange rate for the year ending 30 June 2020 (£1 = €1.14), or 31 December 2019 for Russian Rouble (€1 =73.94). Comparative figures have been extracted from previous editions of the </w:t>
      </w:r>
      <w:r w:rsidRPr="00792794">
        <w:rPr>
          <w:rFonts w:ascii="Calibri" w:hAnsi="Calibri" w:cs="Calibri"/>
          <w:i/>
          <w:iCs/>
          <w:sz w:val="22"/>
          <w:szCs w:val="22"/>
          <w:lang w:val="en-GB"/>
        </w:rPr>
        <w:t>Deloitte Football Money League</w:t>
      </w:r>
      <w:r w:rsidRPr="00792794">
        <w:rPr>
          <w:rFonts w:ascii="Calibri" w:hAnsi="Calibri" w:cs="Calibri"/>
          <w:sz w:val="22"/>
          <w:szCs w:val="22"/>
          <w:lang w:val="en-GB"/>
        </w:rPr>
        <w:t>, or from relevant annual financial statements or other direct sources.</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Later this year the </w:t>
      </w:r>
      <w:r w:rsidRPr="00792794">
        <w:rPr>
          <w:rFonts w:ascii="Calibri" w:hAnsi="Calibri" w:cs="Calibri"/>
          <w:i/>
          <w:iCs/>
          <w:sz w:val="22"/>
          <w:szCs w:val="22"/>
          <w:lang w:val="en-GB"/>
        </w:rPr>
        <w:t>Deloitte Annual Review of Football Finance</w:t>
      </w:r>
      <w:r w:rsidRPr="00792794">
        <w:rPr>
          <w:rFonts w:ascii="Calibri" w:hAnsi="Calibri" w:cs="Calibri"/>
          <w:sz w:val="22"/>
          <w:szCs w:val="22"/>
          <w:lang w:val="en-GB"/>
        </w:rPr>
        <w:t xml:space="preserve"> will be published, providing a more detailed analysis of the English and European football finance landscape.</w:t>
      </w:r>
    </w:p>
    <w:p w:rsidR="00792794" w:rsidRPr="00792794" w:rsidRDefault="00792794" w:rsidP="00792794">
      <w:pPr>
        <w:rPr>
          <w:rFonts w:ascii="Calibri" w:hAnsi="Calibri" w:cs="Calibri"/>
          <w:b/>
          <w:bCs/>
          <w:sz w:val="22"/>
          <w:szCs w:val="22"/>
          <w:lang w:val="en-GB"/>
        </w:rPr>
      </w:pPr>
    </w:p>
    <w:p w:rsidR="00792794" w:rsidRPr="00792794" w:rsidRDefault="00792794" w:rsidP="00792794">
      <w:pPr>
        <w:rPr>
          <w:rFonts w:ascii="Calibri" w:hAnsi="Calibri" w:cs="Calibri"/>
          <w:b/>
          <w:bCs/>
          <w:sz w:val="22"/>
          <w:szCs w:val="22"/>
          <w:lang w:val="en-GB"/>
        </w:rPr>
      </w:pPr>
      <w:r w:rsidRPr="00792794">
        <w:rPr>
          <w:rFonts w:ascii="Calibri" w:hAnsi="Calibri" w:cs="Calibri"/>
          <w:b/>
          <w:bCs/>
          <w:sz w:val="22"/>
          <w:szCs w:val="22"/>
          <w:lang w:val="en-GB"/>
        </w:rPr>
        <w:t>About the Sports Business Group at Deloitte</w:t>
      </w: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Over the last 30 years Deloitte has developed a unique focus on the business of sport. Our specialist Sports Business Group offers a multi-disciplined expert service with dedicated people and skills capable of adding significant value to the business of sport. Whether it is benchmarking or strategic business reviews, operational turnarounds, revenue enhancement strategies or stadium/venue development plans, business planning, market and demand analysis, acquisitions, due diligence, expert witness, audits or tax planning; we have worked with more clubs, leagues, governing bodies, stadia developers, event organisers, commercial partners, financiers and investors than any other adviser.</w:t>
      </w:r>
    </w:p>
    <w:p w:rsidR="00792794" w:rsidRPr="00792794" w:rsidRDefault="00792794" w:rsidP="00792794">
      <w:pPr>
        <w:rPr>
          <w:rFonts w:ascii="Calibri" w:hAnsi="Calibri" w:cs="Calibri"/>
          <w:sz w:val="22"/>
          <w:szCs w:val="22"/>
          <w:lang w:val="en-GB"/>
        </w:rPr>
      </w:pPr>
    </w:p>
    <w:p w:rsidR="00792794" w:rsidRPr="00792794" w:rsidRDefault="00792794" w:rsidP="00792794">
      <w:pPr>
        <w:rPr>
          <w:rFonts w:ascii="Calibri" w:hAnsi="Calibri" w:cs="Calibri"/>
          <w:sz w:val="22"/>
          <w:szCs w:val="22"/>
          <w:lang w:val="en-GB"/>
        </w:rPr>
      </w:pPr>
      <w:r w:rsidRPr="00792794">
        <w:rPr>
          <w:rFonts w:ascii="Calibri" w:hAnsi="Calibri" w:cs="Calibri"/>
          <w:sz w:val="22"/>
          <w:szCs w:val="22"/>
          <w:lang w:val="en-GB"/>
        </w:rPr>
        <w:t xml:space="preserve">For further information on our services you can access our website at </w:t>
      </w:r>
      <w:hyperlink r:id="rId12" w:history="1">
        <w:r w:rsidRPr="00792794">
          <w:rPr>
            <w:rStyle w:val="Hyperlink"/>
            <w:rFonts w:ascii="Calibri" w:hAnsi="Calibri" w:cs="Calibri"/>
            <w:sz w:val="22"/>
            <w:szCs w:val="22"/>
            <w:lang w:val="en-GB"/>
          </w:rPr>
          <w:t>www.deloitte.co.uk/sportsbusinessgroup</w:t>
        </w:r>
      </w:hyperlink>
    </w:p>
    <w:p w:rsidR="002564BE" w:rsidRPr="00792794" w:rsidRDefault="002564BE" w:rsidP="002564BE">
      <w:pPr>
        <w:rPr>
          <w:rFonts w:ascii="Calibri" w:hAnsi="Calibri" w:cs="Calibri"/>
          <w:b/>
          <w:bCs/>
          <w:sz w:val="20"/>
          <w:szCs w:val="20"/>
          <w:lang w:eastAsia="en-GB"/>
        </w:rPr>
      </w:pPr>
    </w:p>
    <w:p w:rsidR="002564BE" w:rsidRPr="00792794" w:rsidRDefault="002564BE" w:rsidP="002564BE">
      <w:pPr>
        <w:pStyle w:val="Text"/>
        <w:spacing w:line="240" w:lineRule="auto"/>
        <w:rPr>
          <w:rFonts w:ascii="Calibri" w:hAnsi="Calibri" w:cs="Calibri"/>
          <w:sz w:val="20"/>
          <w:szCs w:val="20"/>
          <w:shd w:val="clear" w:color="auto" w:fill="FFFFFF"/>
          <w:lang w:val="en-US"/>
        </w:rPr>
      </w:pPr>
    </w:p>
    <w:p w:rsidR="00AD4BFC" w:rsidRPr="00792794" w:rsidRDefault="00792794" w:rsidP="00AE1530">
      <w:pPr>
        <w:pStyle w:val="Text"/>
        <w:spacing w:line="240" w:lineRule="auto"/>
        <w:rPr>
          <w:rFonts w:ascii="Calibri" w:hAnsi="Calibri" w:cs="Calibri"/>
          <w:b/>
          <w:sz w:val="20"/>
          <w:szCs w:val="20"/>
          <w:shd w:val="clear" w:color="auto" w:fill="FFFFFF"/>
          <w:lang w:val="en-US"/>
        </w:rPr>
        <w:sectPr w:rsidR="00AD4BFC" w:rsidRPr="00792794" w:rsidSect="00C67491">
          <w:footerReference w:type="default" r:id="rId13"/>
          <w:headerReference w:type="first" r:id="rId14"/>
          <w:footerReference w:type="first" r:id="rId15"/>
          <w:pgSz w:w="11906" w:h="16838" w:code="9"/>
          <w:pgMar w:top="1417" w:right="1417" w:bottom="1417" w:left="1417" w:header="680" w:footer="567" w:gutter="0"/>
          <w:cols w:space="284"/>
          <w:titlePg/>
          <w:docGrid w:linePitch="360"/>
        </w:sectPr>
      </w:pPr>
      <w:r>
        <w:rPr>
          <w:rFonts w:ascii="Calibri" w:hAnsi="Calibri" w:cs="Calibri"/>
          <w:b/>
          <w:sz w:val="20"/>
          <w:szCs w:val="20"/>
          <w:shd w:val="clear" w:color="auto" w:fill="FFFFFF"/>
          <w:lang w:val="en-US"/>
        </w:rPr>
        <w:t xml:space="preserve">Media </w:t>
      </w:r>
      <w:bookmarkStart w:id="2" w:name="_GoBack"/>
      <w:bookmarkEnd w:id="2"/>
      <w:r w:rsidRPr="00792794">
        <w:rPr>
          <w:rFonts w:ascii="Calibri" w:hAnsi="Calibri" w:cs="Calibri"/>
          <w:b/>
          <w:sz w:val="20"/>
          <w:szCs w:val="20"/>
          <w:shd w:val="clear" w:color="auto" w:fill="FFFFFF"/>
          <w:lang w:val="en-US"/>
        </w:rPr>
        <w:t>Contacts:</w:t>
      </w:r>
    </w:p>
    <w:p w:rsidR="00AE1530" w:rsidRPr="00792794" w:rsidRDefault="00AE1530" w:rsidP="0054105B">
      <w:pPr>
        <w:pStyle w:val="Text"/>
        <w:spacing w:line="240" w:lineRule="auto"/>
        <w:rPr>
          <w:rFonts w:ascii="Calibri" w:hAnsi="Calibri" w:cs="Calibri"/>
          <w:sz w:val="20"/>
          <w:szCs w:val="20"/>
          <w:shd w:val="clear" w:color="auto" w:fill="FFFFFF"/>
          <w:lang w:val="en-US"/>
        </w:rPr>
      </w:pPr>
    </w:p>
    <w:p w:rsidR="00AD4BFC" w:rsidRPr="00792794" w:rsidRDefault="00AD4BFC" w:rsidP="00AE1530">
      <w:pPr>
        <w:pStyle w:val="Text"/>
        <w:spacing w:line="240" w:lineRule="auto"/>
        <w:rPr>
          <w:rFonts w:ascii="Calibri" w:hAnsi="Calibri" w:cs="Calibri"/>
          <w:sz w:val="20"/>
          <w:szCs w:val="20"/>
          <w:shd w:val="clear" w:color="auto" w:fill="FFFFFF"/>
          <w:lang w:val="en-US"/>
        </w:rPr>
        <w:sectPr w:rsidR="00AD4BFC" w:rsidRPr="00792794" w:rsidSect="0054105B">
          <w:type w:val="continuous"/>
          <w:pgSz w:w="11906" w:h="16838" w:code="9"/>
          <w:pgMar w:top="1417" w:right="1417" w:bottom="1417" w:left="1417" w:header="680" w:footer="567" w:gutter="0"/>
          <w:cols w:num="2" w:space="284"/>
          <w:titlePg/>
          <w:docGrid w:linePitch="360"/>
        </w:sectPr>
      </w:pPr>
    </w:p>
    <w:p w:rsidR="00AE1530" w:rsidRPr="00792794" w:rsidRDefault="00AE1530" w:rsidP="00AE1530">
      <w:pPr>
        <w:pStyle w:val="Text"/>
        <w:spacing w:line="240" w:lineRule="auto"/>
        <w:rPr>
          <w:rFonts w:ascii="Calibri" w:hAnsi="Calibri" w:cs="Calibri"/>
          <w:sz w:val="22"/>
          <w:szCs w:val="22"/>
          <w:shd w:val="clear" w:color="auto" w:fill="FFFFFF"/>
          <w:lang w:val="en-US"/>
        </w:rPr>
      </w:pPr>
      <w:r w:rsidRPr="00792794">
        <w:rPr>
          <w:rFonts w:ascii="Calibri" w:hAnsi="Calibri" w:cs="Calibri"/>
          <w:sz w:val="22"/>
          <w:szCs w:val="22"/>
          <w:shd w:val="clear" w:color="auto" w:fill="FFFFFF"/>
          <w:lang w:val="en-US"/>
        </w:rPr>
        <w:t>Michal Malysa</w:t>
      </w:r>
    </w:p>
    <w:p w:rsidR="00AE1530" w:rsidRPr="00792794" w:rsidRDefault="00AE1530" w:rsidP="00AE1530">
      <w:pPr>
        <w:pStyle w:val="Text"/>
        <w:spacing w:line="240" w:lineRule="auto"/>
        <w:rPr>
          <w:rFonts w:ascii="Calibri" w:hAnsi="Calibri" w:cs="Calibri"/>
          <w:sz w:val="22"/>
          <w:szCs w:val="22"/>
          <w:shd w:val="clear" w:color="auto" w:fill="FFFFFF"/>
          <w:lang w:val="en-US"/>
        </w:rPr>
      </w:pPr>
      <w:r w:rsidRPr="00792794">
        <w:rPr>
          <w:rFonts w:ascii="Calibri" w:hAnsi="Calibri" w:cs="Calibri"/>
          <w:sz w:val="22"/>
          <w:szCs w:val="22"/>
          <w:shd w:val="clear" w:color="auto" w:fill="FFFFFF"/>
          <w:lang w:val="en-US"/>
        </w:rPr>
        <w:t>Head of PR and Communications</w:t>
      </w:r>
    </w:p>
    <w:p w:rsidR="00AE1530" w:rsidRPr="00792794" w:rsidRDefault="00792794" w:rsidP="00AE1530">
      <w:pPr>
        <w:pStyle w:val="Text"/>
        <w:spacing w:line="240" w:lineRule="auto"/>
        <w:rPr>
          <w:rFonts w:ascii="Calibri" w:hAnsi="Calibri" w:cs="Calibri"/>
          <w:color w:val="000000" w:themeColor="text1"/>
          <w:sz w:val="22"/>
          <w:szCs w:val="22"/>
          <w:shd w:val="clear" w:color="auto" w:fill="FFFFFF"/>
          <w:lang w:val="en-US"/>
        </w:rPr>
      </w:pPr>
      <w:hyperlink r:id="rId16" w:history="1">
        <w:r w:rsidR="00AE1530" w:rsidRPr="00792794">
          <w:rPr>
            <w:rStyle w:val="Hyperlink"/>
            <w:rFonts w:ascii="Calibri" w:hAnsi="Calibri" w:cs="Calibri"/>
            <w:color w:val="000000" w:themeColor="text1"/>
            <w:sz w:val="22"/>
            <w:szCs w:val="22"/>
            <w:shd w:val="clear" w:color="auto" w:fill="FFFFFF"/>
            <w:lang w:val="en-US"/>
          </w:rPr>
          <w:t>mmalysa@deloittece.com</w:t>
        </w:r>
      </w:hyperlink>
      <w:r w:rsidR="00AE1530" w:rsidRPr="00792794">
        <w:rPr>
          <w:rFonts w:ascii="Calibri" w:hAnsi="Calibri" w:cs="Calibri"/>
          <w:color w:val="000000" w:themeColor="text1"/>
          <w:sz w:val="22"/>
          <w:szCs w:val="22"/>
          <w:shd w:val="clear" w:color="auto" w:fill="FFFFFF"/>
          <w:lang w:val="en-US"/>
        </w:rPr>
        <w:t xml:space="preserve"> </w:t>
      </w:r>
    </w:p>
    <w:p w:rsidR="0054105B" w:rsidRPr="00792794" w:rsidRDefault="00AE1530" w:rsidP="00AE1530">
      <w:pPr>
        <w:pStyle w:val="Text"/>
        <w:spacing w:line="240" w:lineRule="auto"/>
        <w:rPr>
          <w:rFonts w:ascii="Calibri" w:hAnsi="Calibri" w:cs="Calibri"/>
          <w:sz w:val="22"/>
          <w:szCs w:val="22"/>
          <w:shd w:val="clear" w:color="auto" w:fill="FFFFFF"/>
          <w:lang w:val="en-US"/>
        </w:rPr>
      </w:pPr>
      <w:r w:rsidRPr="00792794">
        <w:rPr>
          <w:rFonts w:ascii="Calibri" w:hAnsi="Calibri" w:cs="Calibri"/>
          <w:sz w:val="22"/>
          <w:szCs w:val="22"/>
          <w:shd w:val="clear" w:color="auto" w:fill="FFFFFF"/>
          <w:lang w:val="en-US"/>
        </w:rPr>
        <w:t>Tel: +420 775</w:t>
      </w:r>
      <w:r w:rsidR="003C237F" w:rsidRPr="00792794">
        <w:rPr>
          <w:rFonts w:ascii="Calibri" w:hAnsi="Calibri" w:cs="Calibri"/>
          <w:sz w:val="22"/>
          <w:szCs w:val="22"/>
          <w:shd w:val="clear" w:color="auto" w:fill="FFFFFF"/>
          <w:lang w:val="en-US"/>
        </w:rPr>
        <w:t> </w:t>
      </w:r>
      <w:r w:rsidRPr="00792794">
        <w:rPr>
          <w:rFonts w:ascii="Calibri" w:hAnsi="Calibri" w:cs="Calibri"/>
          <w:sz w:val="22"/>
          <w:szCs w:val="22"/>
          <w:shd w:val="clear" w:color="auto" w:fill="FFFFFF"/>
          <w:lang w:val="en-US"/>
        </w:rPr>
        <w:t>708</w:t>
      </w:r>
      <w:r w:rsidR="0054105B" w:rsidRPr="00792794">
        <w:rPr>
          <w:rFonts w:ascii="Calibri" w:hAnsi="Calibri" w:cs="Calibri"/>
          <w:sz w:val="22"/>
          <w:szCs w:val="22"/>
          <w:shd w:val="clear" w:color="auto" w:fill="FFFFFF"/>
          <w:lang w:val="en-US"/>
        </w:rPr>
        <w:t> </w:t>
      </w:r>
      <w:r w:rsidRPr="00792794">
        <w:rPr>
          <w:rFonts w:ascii="Calibri" w:hAnsi="Calibri" w:cs="Calibri"/>
          <w:sz w:val="22"/>
          <w:szCs w:val="22"/>
          <w:shd w:val="clear" w:color="auto" w:fill="FFFFFF"/>
          <w:lang w:val="en-US"/>
        </w:rPr>
        <w:t>086</w:t>
      </w:r>
    </w:p>
    <w:p w:rsidR="003C237F" w:rsidRPr="00792794" w:rsidRDefault="0054105B" w:rsidP="00AE1530">
      <w:pPr>
        <w:pStyle w:val="Text"/>
        <w:spacing w:line="240" w:lineRule="auto"/>
        <w:rPr>
          <w:rFonts w:ascii="Calibri" w:hAnsi="Calibri" w:cs="Calibri"/>
          <w:sz w:val="22"/>
          <w:szCs w:val="22"/>
          <w:shd w:val="clear" w:color="auto" w:fill="FFFFFF"/>
          <w:lang w:val="en-US"/>
        </w:rPr>
      </w:pPr>
      <w:r w:rsidRPr="00792794">
        <w:rPr>
          <w:rFonts w:ascii="Calibri" w:hAnsi="Calibri" w:cs="Calibri"/>
          <w:sz w:val="22"/>
          <w:szCs w:val="22"/>
          <w:shd w:val="clear" w:color="auto" w:fill="FFFFFF"/>
          <w:lang w:val="en-US"/>
        </w:rPr>
        <w:br w:type="column"/>
      </w:r>
      <w:r w:rsidR="003C3075" w:rsidRPr="00792794">
        <w:rPr>
          <w:rFonts w:ascii="Calibri" w:hAnsi="Calibri" w:cs="Calibri"/>
          <w:sz w:val="22"/>
          <w:szCs w:val="22"/>
          <w:shd w:val="clear" w:color="auto" w:fill="FFFFFF"/>
          <w:lang w:val="en-US"/>
        </w:rPr>
        <w:t>Jana Morávková</w:t>
      </w:r>
    </w:p>
    <w:p w:rsidR="003C237F" w:rsidRPr="00792794" w:rsidRDefault="003C237F" w:rsidP="00AE1530">
      <w:pPr>
        <w:pStyle w:val="Text"/>
        <w:spacing w:line="240" w:lineRule="auto"/>
        <w:rPr>
          <w:rFonts w:ascii="Calibri" w:hAnsi="Calibri" w:cs="Calibri"/>
          <w:color w:val="auto"/>
          <w:sz w:val="22"/>
          <w:szCs w:val="22"/>
          <w:shd w:val="clear" w:color="auto" w:fill="FFFFFF"/>
          <w:lang w:val="en-US"/>
        </w:rPr>
      </w:pPr>
      <w:r w:rsidRPr="00792794">
        <w:rPr>
          <w:rFonts w:ascii="Calibri" w:hAnsi="Calibri" w:cs="Calibri"/>
          <w:color w:val="auto"/>
          <w:sz w:val="22"/>
          <w:szCs w:val="22"/>
          <w:shd w:val="clear" w:color="auto" w:fill="FFFFFF"/>
          <w:lang w:val="en-US"/>
        </w:rPr>
        <w:t>Senior Media and PR Specialist</w:t>
      </w:r>
    </w:p>
    <w:p w:rsidR="003C237F" w:rsidRPr="00792794" w:rsidRDefault="00792794" w:rsidP="00AE1530">
      <w:pPr>
        <w:pStyle w:val="Text"/>
        <w:spacing w:line="240" w:lineRule="auto"/>
        <w:rPr>
          <w:rFonts w:ascii="Calibri" w:hAnsi="Calibri" w:cs="Calibri"/>
          <w:color w:val="auto"/>
          <w:sz w:val="22"/>
          <w:szCs w:val="22"/>
          <w:shd w:val="clear" w:color="auto" w:fill="FFFFFF"/>
          <w:lang w:val="en-US"/>
        </w:rPr>
      </w:pPr>
      <w:hyperlink r:id="rId17" w:history="1">
        <w:r w:rsidR="003C3075" w:rsidRPr="00792794">
          <w:rPr>
            <w:rStyle w:val="Hyperlink"/>
            <w:rFonts w:ascii="Calibri" w:hAnsi="Calibri" w:cs="Calibri"/>
            <w:color w:val="auto"/>
            <w:sz w:val="22"/>
            <w:szCs w:val="22"/>
            <w:shd w:val="clear" w:color="auto" w:fill="FFFFFF"/>
            <w:lang w:val="en-US"/>
          </w:rPr>
          <w:t>jmoravkova@deloittece.com</w:t>
        </w:r>
      </w:hyperlink>
      <w:r w:rsidR="003C3075" w:rsidRPr="00792794">
        <w:rPr>
          <w:rFonts w:ascii="Calibri" w:hAnsi="Calibri" w:cs="Calibri"/>
          <w:color w:val="auto"/>
          <w:sz w:val="22"/>
          <w:szCs w:val="22"/>
          <w:shd w:val="clear" w:color="auto" w:fill="FFFFFF"/>
          <w:lang w:val="en-US"/>
        </w:rPr>
        <w:t xml:space="preserve"> </w:t>
      </w:r>
    </w:p>
    <w:p w:rsidR="0054105B" w:rsidRPr="00792794" w:rsidRDefault="003C237F" w:rsidP="00D71149">
      <w:pPr>
        <w:pStyle w:val="Text"/>
        <w:spacing w:line="240" w:lineRule="auto"/>
        <w:rPr>
          <w:rFonts w:ascii="Calibri" w:hAnsi="Calibri" w:cs="Calibri"/>
          <w:sz w:val="22"/>
          <w:szCs w:val="22"/>
          <w:shd w:val="clear" w:color="auto" w:fill="FFFFFF"/>
          <w:lang w:val="en-US"/>
        </w:rPr>
      </w:pPr>
      <w:r w:rsidRPr="00792794">
        <w:rPr>
          <w:rFonts w:ascii="Calibri" w:hAnsi="Calibri" w:cs="Calibri"/>
          <w:sz w:val="22"/>
          <w:szCs w:val="22"/>
          <w:shd w:val="clear" w:color="auto" w:fill="FFFFFF"/>
          <w:lang w:val="en-US"/>
        </w:rPr>
        <w:t>Tel: +420</w:t>
      </w:r>
      <w:r w:rsidR="003C3075" w:rsidRPr="00792794">
        <w:rPr>
          <w:rFonts w:ascii="Calibri" w:hAnsi="Calibri" w:cs="Calibri"/>
          <w:sz w:val="22"/>
          <w:szCs w:val="22"/>
          <w:shd w:val="clear" w:color="auto" w:fill="FFFFFF"/>
          <w:lang w:val="en-US"/>
        </w:rPr>
        <w:t> 728 258 798</w:t>
      </w:r>
    </w:p>
    <w:p w:rsidR="0054105B" w:rsidRPr="00792794" w:rsidRDefault="0054105B" w:rsidP="00D71149">
      <w:pPr>
        <w:pStyle w:val="Text"/>
        <w:spacing w:line="240" w:lineRule="auto"/>
        <w:rPr>
          <w:rFonts w:ascii="Calibri" w:hAnsi="Calibri" w:cs="Calibri"/>
          <w:sz w:val="20"/>
          <w:szCs w:val="20"/>
          <w:shd w:val="clear" w:color="auto" w:fill="FFFFFF"/>
          <w:lang w:val="en-US"/>
        </w:rPr>
      </w:pPr>
    </w:p>
    <w:sectPr w:rsidR="0054105B" w:rsidRPr="00792794" w:rsidSect="0054105B">
      <w:type w:val="continuous"/>
      <w:pgSz w:w="11906" w:h="16838" w:code="9"/>
      <w:pgMar w:top="1417" w:right="1417" w:bottom="1417" w:left="1417" w:header="680" w:footer="567" w:gutter="0"/>
      <w:cols w:num="2" w:space="284"/>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917CA7" w16cid:durableId="1F4F9D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E6C" w:rsidRDefault="004A4E6C" w:rsidP="00C702C7">
      <w:r>
        <w:separator/>
      </w:r>
    </w:p>
  </w:endnote>
  <w:endnote w:type="continuationSeparator" w:id="0">
    <w:p w:rsidR="004A4E6C" w:rsidRDefault="004A4E6C" w:rsidP="00C7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ingLiU">
    <w:altName w:val="細明體"/>
    <w:panose1 w:val="02010609000101010101"/>
    <w:charset w:val="88"/>
    <w:family w:val="modern"/>
    <w:notTrueType/>
    <w:pitch w:val="fixed"/>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OpenSans-Bol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4A0" w:firstRow="1" w:lastRow="0" w:firstColumn="1" w:lastColumn="0" w:noHBand="0" w:noVBand="1"/>
    </w:tblPr>
    <w:tblGrid>
      <w:gridCol w:w="3544"/>
      <w:gridCol w:w="7002"/>
    </w:tblGrid>
    <w:tr w:rsidR="00B30D35" w:rsidRPr="00D6230E" w:rsidTr="00D6230E">
      <w:tc>
        <w:tcPr>
          <w:tcW w:w="3544" w:type="dxa"/>
          <w:tcBorders>
            <w:top w:val="nil"/>
            <w:left w:val="nil"/>
            <w:bottom w:val="nil"/>
            <w:right w:val="nil"/>
            <w:tl2br w:val="nil"/>
            <w:tr2bl w:val="nil"/>
          </w:tcBorders>
          <w:shd w:val="clear" w:color="auto" w:fill="auto"/>
          <w:vAlign w:val="bottom"/>
        </w:tcPr>
        <w:p w:rsidR="00B30D35" w:rsidRPr="00D6230E" w:rsidRDefault="00B30D35" w:rsidP="00BC0047">
          <w:pPr>
            <w:pStyle w:val="Footer"/>
          </w:pPr>
          <w:r w:rsidRPr="00D6230E">
            <w:fldChar w:fldCharType="begin"/>
          </w:r>
          <w:r w:rsidRPr="00D6230E">
            <w:instrText xml:space="preserve"> IF </w:instrText>
          </w:r>
          <w:r w:rsidRPr="00D6230E">
            <w:fldChar w:fldCharType="begin"/>
          </w:r>
          <w:r w:rsidRPr="00D6230E">
            <w:instrText xml:space="preserve"> PAGE  \* Arabic  \* MERGEFORMAT </w:instrText>
          </w:r>
          <w:r w:rsidRPr="00D6230E">
            <w:fldChar w:fldCharType="separate"/>
          </w:r>
          <w:r w:rsidR="00792794">
            <w:rPr>
              <w:noProof/>
            </w:rPr>
            <w:instrText>7</w:instrText>
          </w:r>
          <w:r w:rsidRPr="00D6230E">
            <w:fldChar w:fldCharType="end"/>
          </w:r>
          <w:r w:rsidRPr="00D6230E">
            <w:instrText xml:space="preserve"> &lt; 10 </w:instrText>
          </w:r>
          <w:r w:rsidRPr="00D6230E">
            <w:fldChar w:fldCharType="begin"/>
          </w:r>
          <w:r w:rsidRPr="00D6230E">
            <w:instrText xml:space="preserve"> IF </w:instrText>
          </w:r>
          <w:r w:rsidRPr="00D6230E">
            <w:fldChar w:fldCharType="begin"/>
          </w:r>
          <w:r w:rsidRPr="00D6230E">
            <w:instrText xml:space="preserve"> PAGE  \* Arabic  \* MERGEFORMAT </w:instrText>
          </w:r>
          <w:r w:rsidRPr="00D6230E">
            <w:fldChar w:fldCharType="separate"/>
          </w:r>
          <w:r w:rsidR="00792794">
            <w:rPr>
              <w:noProof/>
            </w:rPr>
            <w:instrText>7</w:instrText>
          </w:r>
          <w:r w:rsidRPr="00D6230E">
            <w:fldChar w:fldCharType="end"/>
          </w:r>
          <w:r w:rsidRPr="00D6230E">
            <w:instrText xml:space="preserve"> &lt; "10" "0</w:instrText>
          </w:r>
          <w:r w:rsidRPr="00D6230E">
            <w:fldChar w:fldCharType="begin"/>
          </w:r>
          <w:r w:rsidRPr="00D6230E">
            <w:instrText xml:space="preserve"> PAGE  \* Arabic  \* MERGEFORMAT </w:instrText>
          </w:r>
          <w:r w:rsidRPr="00D6230E">
            <w:fldChar w:fldCharType="separate"/>
          </w:r>
          <w:r w:rsidR="00792794">
            <w:rPr>
              <w:noProof/>
            </w:rPr>
            <w:instrText>7</w:instrText>
          </w:r>
          <w:r w:rsidRPr="00D6230E">
            <w:fldChar w:fldCharType="end"/>
          </w:r>
          <w:r w:rsidRPr="00D6230E">
            <w:instrText xml:space="preserve">" \* MERGEFORMAT </w:instrText>
          </w:r>
          <w:r w:rsidRPr="00D6230E">
            <w:fldChar w:fldCharType="separate"/>
          </w:r>
          <w:r w:rsidR="00792794" w:rsidRPr="00D6230E">
            <w:rPr>
              <w:noProof/>
            </w:rPr>
            <w:instrText>0</w:instrText>
          </w:r>
          <w:r w:rsidR="00792794">
            <w:rPr>
              <w:noProof/>
            </w:rPr>
            <w:instrText>7</w:instrText>
          </w:r>
          <w:r w:rsidRPr="00D6230E">
            <w:fldChar w:fldCharType="end"/>
          </w:r>
          <w:r w:rsidRPr="00D6230E">
            <w:instrText xml:space="preserve"> </w:instrText>
          </w:r>
          <w:r w:rsidRPr="00D6230E">
            <w:fldChar w:fldCharType="begin"/>
          </w:r>
          <w:r w:rsidRPr="00D6230E">
            <w:instrText xml:space="preserve"> PAGE  \* Arabic  \* MERGEFORMAT </w:instrText>
          </w:r>
          <w:r w:rsidRPr="00D6230E">
            <w:fldChar w:fldCharType="separate"/>
          </w:r>
          <w:r w:rsidRPr="00D6230E">
            <w:rPr>
              <w:noProof/>
            </w:rPr>
            <w:instrText>13</w:instrText>
          </w:r>
          <w:r w:rsidRPr="00D6230E">
            <w:fldChar w:fldCharType="end"/>
          </w:r>
          <w:r w:rsidRPr="00D6230E">
            <w:instrText xml:space="preserve"> \* MERGEFORMAT </w:instrText>
          </w:r>
          <w:r w:rsidRPr="00D6230E">
            <w:fldChar w:fldCharType="separate"/>
          </w:r>
          <w:r w:rsidR="00792794" w:rsidRPr="00D6230E">
            <w:rPr>
              <w:noProof/>
            </w:rPr>
            <w:t>0</w:t>
          </w:r>
          <w:r w:rsidR="00792794">
            <w:rPr>
              <w:noProof/>
            </w:rPr>
            <w:t>7</w:t>
          </w:r>
          <w:r w:rsidRPr="00D6230E">
            <w:fldChar w:fldCharType="end"/>
          </w:r>
        </w:p>
      </w:tc>
      <w:tc>
        <w:tcPr>
          <w:tcW w:w="7002" w:type="dxa"/>
          <w:tcBorders>
            <w:top w:val="nil"/>
            <w:left w:val="nil"/>
            <w:bottom w:val="nil"/>
            <w:right w:val="nil"/>
            <w:tl2br w:val="nil"/>
            <w:tr2bl w:val="nil"/>
          </w:tcBorders>
          <w:shd w:val="clear" w:color="auto" w:fill="auto"/>
          <w:vAlign w:val="bottom"/>
        </w:tcPr>
        <w:p w:rsidR="00B30D35" w:rsidRPr="00D6230E" w:rsidRDefault="00B30D35" w:rsidP="00D6230E">
          <w:pPr>
            <w:pStyle w:val="Footer"/>
            <w:spacing w:line="180" w:lineRule="atLeast"/>
            <w:rPr>
              <w:sz w:val="14"/>
              <w:szCs w:val="14"/>
            </w:rPr>
          </w:pPr>
        </w:p>
      </w:tc>
    </w:tr>
  </w:tbl>
  <w:p w:rsidR="00B30D35" w:rsidRPr="00335CF3" w:rsidRDefault="00B30D35" w:rsidP="00335CF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D35" w:rsidRDefault="00B30D35">
    <w:pPr>
      <w:pStyle w:val="Footer"/>
    </w:pPr>
  </w:p>
  <w:p w:rsidR="00B30D35" w:rsidRDefault="00B30D35" w:rsidP="004C5D1B">
    <w:pPr>
      <w:pStyle w:val="Footer"/>
    </w:pPr>
    <w:r>
      <w:fldChar w:fldCharType="begin"/>
    </w:r>
    <w:r>
      <w:instrText xml:space="preserve"> IF </w:instrText>
    </w:r>
    <w:r>
      <w:fldChar w:fldCharType="begin"/>
    </w:r>
    <w:r>
      <w:instrText xml:space="preserve"> PAGE  \* Arabic  \* MERGEFORMAT </w:instrText>
    </w:r>
    <w:r>
      <w:fldChar w:fldCharType="separate"/>
    </w:r>
    <w:r w:rsidR="00792794">
      <w:rPr>
        <w:noProof/>
      </w:rPr>
      <w:instrText>1</w:instrText>
    </w:r>
    <w:r>
      <w:fldChar w:fldCharType="end"/>
    </w:r>
    <w:r>
      <w:instrText xml:space="preserve"> &lt; "10" "0</w:instrText>
    </w:r>
    <w:r>
      <w:fldChar w:fldCharType="begin"/>
    </w:r>
    <w:r>
      <w:instrText xml:space="preserve"> PAGE  \* Arabic  \* MERGEFORMAT </w:instrText>
    </w:r>
    <w:r>
      <w:fldChar w:fldCharType="separate"/>
    </w:r>
    <w:r w:rsidR="00792794">
      <w:rPr>
        <w:noProof/>
      </w:rPr>
      <w:instrText>1</w:instrText>
    </w:r>
    <w:r>
      <w:fldChar w:fldCharType="end"/>
    </w:r>
    <w:r>
      <w:instrText xml:space="preserve">" \* MERGEFORMAT </w:instrText>
    </w:r>
    <w:r>
      <w:fldChar w:fldCharType="separate"/>
    </w:r>
    <w:r w:rsidR="00792794">
      <w:rPr>
        <w:noProof/>
      </w:rPr>
      <w:t>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E6C" w:rsidRDefault="004A4E6C" w:rsidP="00C702C7">
      <w:r>
        <w:separator/>
      </w:r>
    </w:p>
  </w:footnote>
  <w:footnote w:type="continuationSeparator" w:id="0">
    <w:p w:rsidR="004A4E6C" w:rsidRDefault="004A4E6C" w:rsidP="00C70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D35" w:rsidRDefault="00B30D35">
    <w:pPr>
      <w:pStyle w:val="Header"/>
    </w:pPr>
    <w:r>
      <w:rPr>
        <w:noProof/>
        <w:lang w:val="cs-CZ" w:eastAsia="cs-CZ"/>
      </w:rPr>
      <w:drawing>
        <wp:anchor distT="152400" distB="152400" distL="152400" distR="152400" simplePos="0" relativeHeight="251659264" behindDoc="1" locked="0" layoutInCell="1" allowOverlap="1" wp14:anchorId="698ED43C" wp14:editId="2770E8C0">
          <wp:simplePos x="0" y="0"/>
          <wp:positionH relativeFrom="page">
            <wp:posOffset>899795</wp:posOffset>
          </wp:positionH>
          <wp:positionV relativeFrom="page">
            <wp:posOffset>476885</wp:posOffset>
          </wp:positionV>
          <wp:extent cx="1871980" cy="348616"/>
          <wp:effectExtent l="0" t="0" r="0" b="0"/>
          <wp:wrapNone/>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image1.gif"/>
                  <pic:cNvPicPr>
                    <a:picLocks noChangeAspect="1"/>
                  </pic:cNvPicPr>
                </pic:nvPicPr>
                <pic:blipFill>
                  <a:blip r:embed="rId1">
                    <a:extLst/>
                  </a:blip>
                  <a:stretch>
                    <a:fillRect/>
                  </a:stretch>
                </pic:blipFill>
                <pic:spPr>
                  <a:xfrm>
                    <a:off x="0" y="0"/>
                    <a:ext cx="1871980" cy="348616"/>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DA8222E"/>
    <w:lvl w:ilvl="0">
      <w:start w:val="1"/>
      <w:numFmt w:val="lowerLetter"/>
      <w:pStyle w:val="ListNumber2"/>
      <w:lvlText w:val="%1."/>
      <w:lvlJc w:val="left"/>
      <w:pPr>
        <w:ind w:left="644" w:hanging="360"/>
      </w:pPr>
    </w:lvl>
  </w:abstractNum>
  <w:abstractNum w:abstractNumId="1" w15:restartNumberingAfterBreak="0">
    <w:nsid w:val="FFFFFF83"/>
    <w:multiLevelType w:val="singleLevel"/>
    <w:tmpl w:val="8EAA911C"/>
    <w:lvl w:ilvl="0">
      <w:start w:val="1"/>
      <w:numFmt w:val="bullet"/>
      <w:pStyle w:val="ListBullet2"/>
      <w:lvlText w:val="‒"/>
      <w:lvlJc w:val="left"/>
      <w:pPr>
        <w:ind w:left="587" w:hanging="360"/>
      </w:pPr>
      <w:rPr>
        <w:rFonts w:ascii="Calibri" w:hAnsi="Calibri" w:hint="default"/>
      </w:rPr>
    </w:lvl>
  </w:abstractNum>
  <w:abstractNum w:abstractNumId="2" w15:restartNumberingAfterBreak="0">
    <w:nsid w:val="FFFFFF88"/>
    <w:multiLevelType w:val="singleLevel"/>
    <w:tmpl w:val="19C28B1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2A4026B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459AB"/>
    <w:multiLevelType w:val="hybridMultilevel"/>
    <w:tmpl w:val="6574A6A2"/>
    <w:lvl w:ilvl="0" w:tplc="D0CA4B2A">
      <w:start w:val="1"/>
      <w:numFmt w:val="decimal"/>
      <w:pStyle w:val="Table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F65855"/>
    <w:multiLevelType w:val="hybridMultilevel"/>
    <w:tmpl w:val="F1247F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66209A8"/>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EB02634"/>
    <w:multiLevelType w:val="hybridMultilevel"/>
    <w:tmpl w:val="8460EA48"/>
    <w:lvl w:ilvl="0" w:tplc="72EC3CF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506E89"/>
    <w:multiLevelType w:val="hybridMultilevel"/>
    <w:tmpl w:val="AD8A3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0E7690"/>
    <w:multiLevelType w:val="multilevel"/>
    <w:tmpl w:val="2C5666E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51906B9"/>
    <w:multiLevelType w:val="hybridMultilevel"/>
    <w:tmpl w:val="28B2B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A374A1"/>
    <w:multiLevelType w:val="hybridMultilevel"/>
    <w:tmpl w:val="44E0A5F6"/>
    <w:lvl w:ilvl="0" w:tplc="BB3C60E0">
      <w:numFmt w:val="bullet"/>
      <w:lvlText w:val="•"/>
      <w:lvlJc w:val="left"/>
      <w:pPr>
        <w:ind w:left="1004" w:hanging="720"/>
      </w:pPr>
      <w:rPr>
        <w:rFonts w:ascii="Verdana" w:eastAsia="Arial Unicode MS" w:hAnsi="Verdana" w:cs="Arial Unicode M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1C366BD0"/>
    <w:multiLevelType w:val="multilevel"/>
    <w:tmpl w:val="15F6EE94"/>
    <w:lvl w:ilvl="0">
      <w:start w:val="1"/>
      <w:numFmt w:val="decimal"/>
      <w:lvlText w:val="%1."/>
      <w:lvlJc w:val="left"/>
      <w:pPr>
        <w:ind w:left="20" w:hanging="360"/>
      </w:pPr>
      <w:rPr>
        <w:rFonts w:hint="default"/>
        <w:b w:val="0"/>
        <w:i w:val="0"/>
        <w:color w:val="00000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3" w15:restartNumberingAfterBreak="0">
    <w:nsid w:val="1D521ABA"/>
    <w:multiLevelType w:val="hybridMultilevel"/>
    <w:tmpl w:val="3196A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F4B2E2F"/>
    <w:multiLevelType w:val="hybridMultilevel"/>
    <w:tmpl w:val="14E268D2"/>
    <w:lvl w:ilvl="0" w:tplc="DEAE38A0">
      <w:numFmt w:val="bullet"/>
      <w:lvlText w:val="•"/>
      <w:lvlJc w:val="left"/>
      <w:pPr>
        <w:ind w:left="1440" w:hanging="720"/>
      </w:pPr>
      <w:rPr>
        <w:rFonts w:ascii="Verdana" w:eastAsia="Arial Unicode MS" w:hAnsi="Verdana" w:cs="Arial Unicode M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107359E"/>
    <w:multiLevelType w:val="hybridMultilevel"/>
    <w:tmpl w:val="44700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7040CF"/>
    <w:multiLevelType w:val="hybridMultilevel"/>
    <w:tmpl w:val="28B631BA"/>
    <w:lvl w:ilvl="0" w:tplc="04050001">
      <w:start w:val="1"/>
      <w:numFmt w:val="bullet"/>
      <w:lvlText w:val=""/>
      <w:lvlJc w:val="left"/>
      <w:pPr>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EAF2022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F732CBC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C7AEEC1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F5AA29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2C6455B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C04AC6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84CA762">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DE9CC39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4417D8E"/>
    <w:multiLevelType w:val="hybridMultilevel"/>
    <w:tmpl w:val="12140426"/>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8" w15:restartNumberingAfterBreak="0">
    <w:nsid w:val="2B395534"/>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C706E4B"/>
    <w:multiLevelType w:val="hybridMultilevel"/>
    <w:tmpl w:val="5A62C84C"/>
    <w:lvl w:ilvl="0" w:tplc="8BEC6C6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6C6B8E"/>
    <w:multiLevelType w:val="hybridMultilevel"/>
    <w:tmpl w:val="CC9E71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FE2DDD"/>
    <w:multiLevelType w:val="hybridMultilevel"/>
    <w:tmpl w:val="CA628A0A"/>
    <w:lvl w:ilvl="0" w:tplc="0BAC49B2">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E40C1C"/>
    <w:multiLevelType w:val="hybridMultilevel"/>
    <w:tmpl w:val="787EDD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360" w:hanging="360"/>
      </w:pPr>
      <w:rPr>
        <w:rFonts w:ascii="Wingdings" w:hAnsi="Wingdings" w:hint="default"/>
      </w:rPr>
    </w:lvl>
    <w:lvl w:ilvl="3" w:tplc="04050001" w:tentative="1">
      <w:start w:val="1"/>
      <w:numFmt w:val="bullet"/>
      <w:lvlText w:val=""/>
      <w:lvlJc w:val="left"/>
      <w:pPr>
        <w:ind w:left="1080" w:hanging="360"/>
      </w:pPr>
      <w:rPr>
        <w:rFonts w:ascii="Symbol" w:hAnsi="Symbol" w:hint="default"/>
      </w:rPr>
    </w:lvl>
    <w:lvl w:ilvl="4" w:tplc="04050003" w:tentative="1">
      <w:start w:val="1"/>
      <w:numFmt w:val="bullet"/>
      <w:lvlText w:val="o"/>
      <w:lvlJc w:val="left"/>
      <w:pPr>
        <w:ind w:left="1800" w:hanging="360"/>
      </w:pPr>
      <w:rPr>
        <w:rFonts w:ascii="Courier New" w:hAnsi="Courier New" w:cs="Courier New" w:hint="default"/>
      </w:rPr>
    </w:lvl>
    <w:lvl w:ilvl="5" w:tplc="04050005" w:tentative="1">
      <w:start w:val="1"/>
      <w:numFmt w:val="bullet"/>
      <w:lvlText w:val=""/>
      <w:lvlJc w:val="left"/>
      <w:pPr>
        <w:ind w:left="2520" w:hanging="360"/>
      </w:pPr>
      <w:rPr>
        <w:rFonts w:ascii="Wingdings" w:hAnsi="Wingdings" w:hint="default"/>
      </w:rPr>
    </w:lvl>
    <w:lvl w:ilvl="6" w:tplc="04050001" w:tentative="1">
      <w:start w:val="1"/>
      <w:numFmt w:val="bullet"/>
      <w:lvlText w:val=""/>
      <w:lvlJc w:val="left"/>
      <w:pPr>
        <w:ind w:left="3240" w:hanging="360"/>
      </w:pPr>
      <w:rPr>
        <w:rFonts w:ascii="Symbol" w:hAnsi="Symbol" w:hint="default"/>
      </w:rPr>
    </w:lvl>
    <w:lvl w:ilvl="7" w:tplc="04050003" w:tentative="1">
      <w:start w:val="1"/>
      <w:numFmt w:val="bullet"/>
      <w:lvlText w:val="o"/>
      <w:lvlJc w:val="left"/>
      <w:pPr>
        <w:ind w:left="3960" w:hanging="360"/>
      </w:pPr>
      <w:rPr>
        <w:rFonts w:ascii="Courier New" w:hAnsi="Courier New" w:cs="Courier New" w:hint="default"/>
      </w:rPr>
    </w:lvl>
    <w:lvl w:ilvl="8" w:tplc="04050005" w:tentative="1">
      <w:start w:val="1"/>
      <w:numFmt w:val="bullet"/>
      <w:lvlText w:val=""/>
      <w:lvlJc w:val="left"/>
      <w:pPr>
        <w:ind w:left="4680" w:hanging="360"/>
      </w:pPr>
      <w:rPr>
        <w:rFonts w:ascii="Wingdings" w:hAnsi="Wingdings" w:hint="default"/>
      </w:rPr>
    </w:lvl>
  </w:abstractNum>
  <w:abstractNum w:abstractNumId="23" w15:restartNumberingAfterBreak="0">
    <w:nsid w:val="405A75A2"/>
    <w:multiLevelType w:val="hybridMultilevel"/>
    <w:tmpl w:val="0F9AF5A0"/>
    <w:lvl w:ilvl="0" w:tplc="DEAE38A0">
      <w:numFmt w:val="bullet"/>
      <w:lvlText w:val="•"/>
      <w:lvlJc w:val="left"/>
      <w:pPr>
        <w:ind w:left="1080" w:hanging="720"/>
      </w:pPr>
      <w:rPr>
        <w:rFonts w:ascii="Verdana" w:eastAsia="Arial Unicode MS" w:hAnsi="Verdana" w:cs="Arial Unicode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565C15"/>
    <w:multiLevelType w:val="hybridMultilevel"/>
    <w:tmpl w:val="B69E5CF2"/>
    <w:lvl w:ilvl="0" w:tplc="806E79C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F11E9C"/>
    <w:multiLevelType w:val="hybridMultilevel"/>
    <w:tmpl w:val="13FE6F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771028C"/>
    <w:multiLevelType w:val="hybridMultilevel"/>
    <w:tmpl w:val="15F6EE94"/>
    <w:lvl w:ilvl="0" w:tplc="0DE6A996">
      <w:start w:val="1"/>
      <w:numFmt w:val="decimal"/>
      <w:lvlText w:val="%1."/>
      <w:lvlJc w:val="left"/>
      <w:pPr>
        <w:ind w:left="20" w:hanging="360"/>
      </w:pPr>
      <w:rPr>
        <w:rFonts w:hint="default"/>
        <w:b w:val="0"/>
        <w:i w:val="0"/>
        <w:color w:val="00000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7" w15:restartNumberingAfterBreak="0">
    <w:nsid w:val="4A863C5D"/>
    <w:multiLevelType w:val="hybridMultilevel"/>
    <w:tmpl w:val="7C2E52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7AE6A82"/>
    <w:multiLevelType w:val="multilevel"/>
    <w:tmpl w:val="27CC0A1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B3C439B"/>
    <w:multiLevelType w:val="hybridMultilevel"/>
    <w:tmpl w:val="15F6EE94"/>
    <w:lvl w:ilvl="0" w:tplc="0DE6A996">
      <w:start w:val="1"/>
      <w:numFmt w:val="decimal"/>
      <w:lvlText w:val="%1."/>
      <w:lvlJc w:val="left"/>
      <w:pPr>
        <w:ind w:left="20" w:hanging="360"/>
      </w:pPr>
      <w:rPr>
        <w:rFonts w:hint="default"/>
        <w:b w:val="0"/>
        <w:i w:val="0"/>
        <w:color w:val="00000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30" w15:restartNumberingAfterBreak="0">
    <w:nsid w:val="5D6C51DD"/>
    <w:multiLevelType w:val="hybridMultilevel"/>
    <w:tmpl w:val="CB6C97FC"/>
    <w:lvl w:ilvl="0" w:tplc="4E0CAD60">
      <w:numFmt w:val="bullet"/>
      <w:lvlText w:val="•"/>
      <w:lvlJc w:val="left"/>
      <w:pPr>
        <w:ind w:left="1080" w:hanging="720"/>
      </w:pPr>
      <w:rPr>
        <w:rFonts w:ascii="Verdana" w:eastAsia="Arial Unicode MS" w:hAnsi="Verdana" w:cs="Arial Unicode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208224D"/>
    <w:multiLevelType w:val="multilevel"/>
    <w:tmpl w:val="307681D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E9058F3"/>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9CE2F91"/>
    <w:multiLevelType w:val="hybridMultilevel"/>
    <w:tmpl w:val="A84E6D20"/>
    <w:lvl w:ilvl="0" w:tplc="DEAE38A0">
      <w:numFmt w:val="bullet"/>
      <w:lvlText w:val="•"/>
      <w:lvlJc w:val="left"/>
      <w:pPr>
        <w:ind w:left="1080" w:hanging="720"/>
      </w:pPr>
      <w:rPr>
        <w:rFonts w:ascii="Verdana" w:eastAsia="Arial Unicode MS" w:hAnsi="Verdana" w:cs="Arial Unicode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28068C"/>
    <w:multiLevelType w:val="multilevel"/>
    <w:tmpl w:val="0FE63172"/>
    <w:lvl w:ilvl="0">
      <w:start w:val="1"/>
      <w:numFmt w:val="decimal"/>
      <w:pStyle w:val="Smlouvaheading1"/>
      <w:lvlText w:val="%1"/>
      <w:lvlJc w:val="left"/>
      <w:pPr>
        <w:tabs>
          <w:tab w:val="num" w:pos="425"/>
        </w:tabs>
        <w:ind w:left="425" w:hanging="425"/>
      </w:pPr>
      <w:rPr>
        <w:rFonts w:hint="default"/>
      </w:rPr>
    </w:lvl>
    <w:lvl w:ilvl="1">
      <w:start w:val="1"/>
      <w:numFmt w:val="decimal"/>
      <w:pStyle w:val="Smlouvaheading2"/>
      <w:lvlText w:val="%1.%2"/>
      <w:lvlJc w:val="left"/>
      <w:pPr>
        <w:tabs>
          <w:tab w:val="num" w:pos="851"/>
        </w:tabs>
        <w:ind w:left="851" w:hanging="426"/>
      </w:pPr>
      <w:rPr>
        <w:rFonts w:hint="default"/>
      </w:rPr>
    </w:lvl>
    <w:lvl w:ilvl="2">
      <w:start w:val="1"/>
      <w:numFmt w:val="decimal"/>
      <w:pStyle w:val="Smlouvaheading3"/>
      <w:lvlText w:val="%1.%2.%3"/>
      <w:lvlJc w:val="left"/>
      <w:pPr>
        <w:tabs>
          <w:tab w:val="num" w:pos="1474"/>
        </w:tabs>
        <w:ind w:left="1474" w:hanging="623"/>
      </w:pPr>
      <w:rPr>
        <w:rFonts w:hint="default"/>
      </w:rPr>
    </w:lvl>
    <w:lvl w:ilvl="3">
      <w:start w:val="1"/>
      <w:numFmt w:val="decimal"/>
      <w:pStyle w:val="Smlouvaheading4"/>
      <w:lvlText w:val="%1.%2.%3.%4"/>
      <w:lvlJc w:val="left"/>
      <w:pPr>
        <w:tabs>
          <w:tab w:val="num" w:pos="2296"/>
        </w:tabs>
        <w:ind w:left="2296"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1"/>
  </w:num>
  <w:num w:numId="3">
    <w:abstractNumId w:val="2"/>
  </w:num>
  <w:num w:numId="4">
    <w:abstractNumId w:val="0"/>
  </w:num>
  <w:num w:numId="5">
    <w:abstractNumId w:val="19"/>
  </w:num>
  <w:num w:numId="6">
    <w:abstractNumId w:val="29"/>
  </w:num>
  <w:num w:numId="7">
    <w:abstractNumId w:val="29"/>
    <w:lvlOverride w:ilvl="0">
      <w:startOverride w:val="1"/>
    </w:lvlOverride>
  </w:num>
  <w:num w:numId="8">
    <w:abstractNumId w:val="26"/>
  </w:num>
  <w:num w:numId="9">
    <w:abstractNumId w:val="28"/>
  </w:num>
  <w:num w:numId="10">
    <w:abstractNumId w:val="9"/>
  </w:num>
  <w:num w:numId="11">
    <w:abstractNumId w:val="12"/>
  </w:num>
  <w:num w:numId="12">
    <w:abstractNumId w:val="31"/>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18"/>
  </w:num>
  <w:num w:numId="17">
    <w:abstractNumId w:val="24"/>
  </w:num>
  <w:num w:numId="18">
    <w:abstractNumId w:val="7"/>
  </w:num>
  <w:num w:numId="19">
    <w:abstractNumId w:val="21"/>
  </w:num>
  <w:num w:numId="20">
    <w:abstractNumId w:val="4"/>
  </w:num>
  <w:num w:numId="21">
    <w:abstractNumId w:val="34"/>
  </w:num>
  <w:num w:numId="22">
    <w:abstractNumId w:val="34"/>
  </w:num>
  <w:num w:numId="23">
    <w:abstractNumId w:val="34"/>
  </w:num>
  <w:num w:numId="24">
    <w:abstractNumId w:val="34"/>
  </w:num>
  <w:num w:numId="25">
    <w:abstractNumId w:val="8"/>
  </w:num>
  <w:num w:numId="26">
    <w:abstractNumId w:val="16"/>
  </w:num>
  <w:num w:numId="27">
    <w:abstractNumId w:val="11"/>
  </w:num>
  <w:num w:numId="28">
    <w:abstractNumId w:val="15"/>
  </w:num>
  <w:num w:numId="29">
    <w:abstractNumId w:val="33"/>
  </w:num>
  <w:num w:numId="30">
    <w:abstractNumId w:val="14"/>
  </w:num>
  <w:num w:numId="31">
    <w:abstractNumId w:val="23"/>
  </w:num>
  <w:num w:numId="32">
    <w:abstractNumId w:val="17"/>
  </w:num>
  <w:num w:numId="33">
    <w:abstractNumId w:val="20"/>
  </w:num>
  <w:num w:numId="34">
    <w:abstractNumId w:val="30"/>
  </w:num>
  <w:num w:numId="35">
    <w:abstractNumId w:val="22"/>
  </w:num>
  <w:num w:numId="36">
    <w:abstractNumId w:val="25"/>
  </w:num>
  <w:num w:numId="37">
    <w:abstractNumId w:val="5"/>
  </w:num>
  <w:num w:numId="38">
    <w:abstractNumId w:val="27"/>
  </w:num>
  <w:num w:numId="39">
    <w:abstractNumId w:val="13"/>
    <w:lvlOverride w:ilvl="0"/>
    <w:lvlOverride w:ilvl="1"/>
    <w:lvlOverride w:ilvl="2"/>
    <w:lvlOverride w:ilvl="3"/>
    <w:lvlOverride w:ilvl="4"/>
    <w:lvlOverride w:ilvl="5"/>
    <w:lvlOverride w:ilvl="6"/>
    <w:lvlOverride w:ilvl="7"/>
    <w:lvlOverride w:ilvl="8"/>
  </w:num>
  <w:num w:numId="40">
    <w:abstractNumId w:val="10"/>
    <w:lvlOverride w:ilvl="0"/>
    <w:lvlOverride w:ilvl="1"/>
    <w:lvlOverride w:ilvl="2"/>
    <w:lvlOverride w:ilvl="3"/>
    <w:lvlOverride w:ilvl="4"/>
    <w:lvlOverride w:ilvl="5"/>
    <w:lvlOverride w:ilvl="6"/>
    <w:lvlOverride w:ilvl="7"/>
    <w:lvlOverride w:ilvl="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30"/>
    <w:rsid w:val="000005FE"/>
    <w:rsid w:val="0000060F"/>
    <w:rsid w:val="0000062D"/>
    <w:rsid w:val="00005367"/>
    <w:rsid w:val="000131A3"/>
    <w:rsid w:val="00013C0A"/>
    <w:rsid w:val="00014B89"/>
    <w:rsid w:val="00015CDF"/>
    <w:rsid w:val="000162BC"/>
    <w:rsid w:val="00016A1F"/>
    <w:rsid w:val="000173B3"/>
    <w:rsid w:val="00020D44"/>
    <w:rsid w:val="00021A39"/>
    <w:rsid w:val="00025E7D"/>
    <w:rsid w:val="00031C58"/>
    <w:rsid w:val="000333E8"/>
    <w:rsid w:val="00035DBA"/>
    <w:rsid w:val="00037C17"/>
    <w:rsid w:val="00041DB4"/>
    <w:rsid w:val="000429AC"/>
    <w:rsid w:val="00042B6A"/>
    <w:rsid w:val="00042B99"/>
    <w:rsid w:val="00045CB5"/>
    <w:rsid w:val="0004657A"/>
    <w:rsid w:val="00046F76"/>
    <w:rsid w:val="000516C4"/>
    <w:rsid w:val="000517C0"/>
    <w:rsid w:val="000538F4"/>
    <w:rsid w:val="00061444"/>
    <w:rsid w:val="0006186F"/>
    <w:rsid w:val="00063493"/>
    <w:rsid w:val="000637A6"/>
    <w:rsid w:val="00066BBA"/>
    <w:rsid w:val="00071509"/>
    <w:rsid w:val="00073365"/>
    <w:rsid w:val="000744E0"/>
    <w:rsid w:val="00074EE9"/>
    <w:rsid w:val="00081E21"/>
    <w:rsid w:val="00083DD5"/>
    <w:rsid w:val="0008659E"/>
    <w:rsid w:val="00092341"/>
    <w:rsid w:val="00092349"/>
    <w:rsid w:val="000A7265"/>
    <w:rsid w:val="000A7F05"/>
    <w:rsid w:val="000B1BC3"/>
    <w:rsid w:val="000B3727"/>
    <w:rsid w:val="000B3A41"/>
    <w:rsid w:val="000B6C05"/>
    <w:rsid w:val="000C20BD"/>
    <w:rsid w:val="000C2B24"/>
    <w:rsid w:val="000C3353"/>
    <w:rsid w:val="000C40BD"/>
    <w:rsid w:val="000C5547"/>
    <w:rsid w:val="000C5EA5"/>
    <w:rsid w:val="000D2C33"/>
    <w:rsid w:val="000D2DE0"/>
    <w:rsid w:val="000E03EB"/>
    <w:rsid w:val="000E1642"/>
    <w:rsid w:val="000E2C94"/>
    <w:rsid w:val="000E4AA4"/>
    <w:rsid w:val="000E625F"/>
    <w:rsid w:val="000F1119"/>
    <w:rsid w:val="000F2197"/>
    <w:rsid w:val="000F37BD"/>
    <w:rsid w:val="000F59E8"/>
    <w:rsid w:val="000F5C22"/>
    <w:rsid w:val="000F7C09"/>
    <w:rsid w:val="00100A19"/>
    <w:rsid w:val="0010113D"/>
    <w:rsid w:val="001045B6"/>
    <w:rsid w:val="0010462B"/>
    <w:rsid w:val="001066A8"/>
    <w:rsid w:val="0010681F"/>
    <w:rsid w:val="001070FF"/>
    <w:rsid w:val="0011007D"/>
    <w:rsid w:val="001102E2"/>
    <w:rsid w:val="00110604"/>
    <w:rsid w:val="00111011"/>
    <w:rsid w:val="00112B90"/>
    <w:rsid w:val="00121D29"/>
    <w:rsid w:val="00123AD3"/>
    <w:rsid w:val="001263BF"/>
    <w:rsid w:val="001265CF"/>
    <w:rsid w:val="00130191"/>
    <w:rsid w:val="001354B5"/>
    <w:rsid w:val="00135844"/>
    <w:rsid w:val="00135933"/>
    <w:rsid w:val="00136294"/>
    <w:rsid w:val="00136A51"/>
    <w:rsid w:val="00140513"/>
    <w:rsid w:val="001457BC"/>
    <w:rsid w:val="00146A17"/>
    <w:rsid w:val="00147019"/>
    <w:rsid w:val="00157BD7"/>
    <w:rsid w:val="0016074F"/>
    <w:rsid w:val="00163881"/>
    <w:rsid w:val="00163BA8"/>
    <w:rsid w:val="001659E4"/>
    <w:rsid w:val="00167EA0"/>
    <w:rsid w:val="0017076F"/>
    <w:rsid w:val="0017087B"/>
    <w:rsid w:val="001708B9"/>
    <w:rsid w:val="00170F48"/>
    <w:rsid w:val="0017280D"/>
    <w:rsid w:val="00172C5A"/>
    <w:rsid w:val="0017434B"/>
    <w:rsid w:val="001745A5"/>
    <w:rsid w:val="001757CE"/>
    <w:rsid w:val="00180BDA"/>
    <w:rsid w:val="0018108F"/>
    <w:rsid w:val="00185407"/>
    <w:rsid w:val="00186FC8"/>
    <w:rsid w:val="001903C4"/>
    <w:rsid w:val="00190A1C"/>
    <w:rsid w:val="00191486"/>
    <w:rsid w:val="00193BE3"/>
    <w:rsid w:val="001975EF"/>
    <w:rsid w:val="0019765A"/>
    <w:rsid w:val="001A45CF"/>
    <w:rsid w:val="001A472D"/>
    <w:rsid w:val="001A48B8"/>
    <w:rsid w:val="001A6D56"/>
    <w:rsid w:val="001B0F94"/>
    <w:rsid w:val="001B1B71"/>
    <w:rsid w:val="001B4494"/>
    <w:rsid w:val="001B4FC0"/>
    <w:rsid w:val="001B5C19"/>
    <w:rsid w:val="001B684B"/>
    <w:rsid w:val="001C2515"/>
    <w:rsid w:val="001C27DF"/>
    <w:rsid w:val="001D0241"/>
    <w:rsid w:val="001D03A7"/>
    <w:rsid w:val="001D21E5"/>
    <w:rsid w:val="001D5301"/>
    <w:rsid w:val="001D5A79"/>
    <w:rsid w:val="001D7F16"/>
    <w:rsid w:val="001E016B"/>
    <w:rsid w:val="001E377C"/>
    <w:rsid w:val="001E558C"/>
    <w:rsid w:val="001E6C8B"/>
    <w:rsid w:val="001E7D3E"/>
    <w:rsid w:val="001F38BE"/>
    <w:rsid w:val="001F489E"/>
    <w:rsid w:val="001F60F0"/>
    <w:rsid w:val="001F61B8"/>
    <w:rsid w:val="001F673A"/>
    <w:rsid w:val="001F6839"/>
    <w:rsid w:val="001F7765"/>
    <w:rsid w:val="00204CBA"/>
    <w:rsid w:val="00211AB1"/>
    <w:rsid w:val="00212852"/>
    <w:rsid w:val="00214048"/>
    <w:rsid w:val="00216CF6"/>
    <w:rsid w:val="00220CCF"/>
    <w:rsid w:val="002226D9"/>
    <w:rsid w:val="00223E35"/>
    <w:rsid w:val="00226734"/>
    <w:rsid w:val="00227F1F"/>
    <w:rsid w:val="00230B70"/>
    <w:rsid w:val="00231B44"/>
    <w:rsid w:val="00232AD1"/>
    <w:rsid w:val="002340B6"/>
    <w:rsid w:val="00234BA2"/>
    <w:rsid w:val="00235475"/>
    <w:rsid w:val="00235582"/>
    <w:rsid w:val="00237008"/>
    <w:rsid w:val="002370AB"/>
    <w:rsid w:val="00237872"/>
    <w:rsid w:val="0024202F"/>
    <w:rsid w:val="00243651"/>
    <w:rsid w:val="00244010"/>
    <w:rsid w:val="00245BD4"/>
    <w:rsid w:val="00247F07"/>
    <w:rsid w:val="00253D2A"/>
    <w:rsid w:val="00255891"/>
    <w:rsid w:val="00255D53"/>
    <w:rsid w:val="00255D5E"/>
    <w:rsid w:val="002564BE"/>
    <w:rsid w:val="00256F15"/>
    <w:rsid w:val="00256FA9"/>
    <w:rsid w:val="002651CA"/>
    <w:rsid w:val="002700A0"/>
    <w:rsid w:val="00277DBB"/>
    <w:rsid w:val="00280B8A"/>
    <w:rsid w:val="002814A6"/>
    <w:rsid w:val="00291CD2"/>
    <w:rsid w:val="00292EF0"/>
    <w:rsid w:val="002930B2"/>
    <w:rsid w:val="00294BBA"/>
    <w:rsid w:val="00295B52"/>
    <w:rsid w:val="00297214"/>
    <w:rsid w:val="002A30BE"/>
    <w:rsid w:val="002A75EA"/>
    <w:rsid w:val="002A7903"/>
    <w:rsid w:val="002B0144"/>
    <w:rsid w:val="002B1A8F"/>
    <w:rsid w:val="002B2376"/>
    <w:rsid w:val="002B4054"/>
    <w:rsid w:val="002B4D02"/>
    <w:rsid w:val="002B6D2E"/>
    <w:rsid w:val="002C06B3"/>
    <w:rsid w:val="002C15A0"/>
    <w:rsid w:val="002C2185"/>
    <w:rsid w:val="002C3FC1"/>
    <w:rsid w:val="002C5426"/>
    <w:rsid w:val="002C5FEA"/>
    <w:rsid w:val="002C690A"/>
    <w:rsid w:val="002C6F50"/>
    <w:rsid w:val="002D41F7"/>
    <w:rsid w:val="002D5F90"/>
    <w:rsid w:val="002E1C00"/>
    <w:rsid w:val="002E48E0"/>
    <w:rsid w:val="002E5DFD"/>
    <w:rsid w:val="002E7099"/>
    <w:rsid w:val="002E71B7"/>
    <w:rsid w:val="002F027D"/>
    <w:rsid w:val="002F179C"/>
    <w:rsid w:val="002F2771"/>
    <w:rsid w:val="002F279A"/>
    <w:rsid w:val="002F3167"/>
    <w:rsid w:val="002F4BD8"/>
    <w:rsid w:val="002F566A"/>
    <w:rsid w:val="003121C1"/>
    <w:rsid w:val="00312A52"/>
    <w:rsid w:val="00312AF8"/>
    <w:rsid w:val="00314451"/>
    <w:rsid w:val="00320EB1"/>
    <w:rsid w:val="003214B6"/>
    <w:rsid w:val="00322315"/>
    <w:rsid w:val="0032373B"/>
    <w:rsid w:val="00324E0F"/>
    <w:rsid w:val="00326A79"/>
    <w:rsid w:val="003306B8"/>
    <w:rsid w:val="00331D1F"/>
    <w:rsid w:val="00333A8A"/>
    <w:rsid w:val="00335CF3"/>
    <w:rsid w:val="00337680"/>
    <w:rsid w:val="00342A72"/>
    <w:rsid w:val="003447FA"/>
    <w:rsid w:val="0034614C"/>
    <w:rsid w:val="00350886"/>
    <w:rsid w:val="00354723"/>
    <w:rsid w:val="003552DE"/>
    <w:rsid w:val="0035565C"/>
    <w:rsid w:val="003567FB"/>
    <w:rsid w:val="003571F5"/>
    <w:rsid w:val="00357E4F"/>
    <w:rsid w:val="00364A9B"/>
    <w:rsid w:val="00364C1F"/>
    <w:rsid w:val="00365A43"/>
    <w:rsid w:val="003661BB"/>
    <w:rsid w:val="00367B44"/>
    <w:rsid w:val="00374E9A"/>
    <w:rsid w:val="00375229"/>
    <w:rsid w:val="00375EB8"/>
    <w:rsid w:val="00376AB2"/>
    <w:rsid w:val="00377AE4"/>
    <w:rsid w:val="003806C9"/>
    <w:rsid w:val="00381032"/>
    <w:rsid w:val="0038581F"/>
    <w:rsid w:val="00385F4A"/>
    <w:rsid w:val="003863C7"/>
    <w:rsid w:val="00387D4C"/>
    <w:rsid w:val="0039181B"/>
    <w:rsid w:val="0039216E"/>
    <w:rsid w:val="003923FD"/>
    <w:rsid w:val="003925FD"/>
    <w:rsid w:val="003A3F8E"/>
    <w:rsid w:val="003A494E"/>
    <w:rsid w:val="003A6239"/>
    <w:rsid w:val="003A6FBF"/>
    <w:rsid w:val="003B052E"/>
    <w:rsid w:val="003B3379"/>
    <w:rsid w:val="003B3C47"/>
    <w:rsid w:val="003B3F96"/>
    <w:rsid w:val="003B52E9"/>
    <w:rsid w:val="003B5F17"/>
    <w:rsid w:val="003B7992"/>
    <w:rsid w:val="003C12AF"/>
    <w:rsid w:val="003C237F"/>
    <w:rsid w:val="003C3075"/>
    <w:rsid w:val="003C34BB"/>
    <w:rsid w:val="003C4BE4"/>
    <w:rsid w:val="003C4DE4"/>
    <w:rsid w:val="003C6525"/>
    <w:rsid w:val="003C6ABB"/>
    <w:rsid w:val="003C7323"/>
    <w:rsid w:val="003D0767"/>
    <w:rsid w:val="003D1A80"/>
    <w:rsid w:val="003D38E7"/>
    <w:rsid w:val="003D3E33"/>
    <w:rsid w:val="003D4000"/>
    <w:rsid w:val="003D4800"/>
    <w:rsid w:val="003E138D"/>
    <w:rsid w:val="003E1820"/>
    <w:rsid w:val="003E49BA"/>
    <w:rsid w:val="003F14A6"/>
    <w:rsid w:val="003F2224"/>
    <w:rsid w:val="0040292C"/>
    <w:rsid w:val="00404121"/>
    <w:rsid w:val="00404297"/>
    <w:rsid w:val="004052BC"/>
    <w:rsid w:val="004066C3"/>
    <w:rsid w:val="00406BB3"/>
    <w:rsid w:val="00412575"/>
    <w:rsid w:val="004127B9"/>
    <w:rsid w:val="00412EA0"/>
    <w:rsid w:val="00413084"/>
    <w:rsid w:val="00421459"/>
    <w:rsid w:val="00422DD1"/>
    <w:rsid w:val="00425F58"/>
    <w:rsid w:val="00427897"/>
    <w:rsid w:val="00430222"/>
    <w:rsid w:val="004314E1"/>
    <w:rsid w:val="00432002"/>
    <w:rsid w:val="0044117C"/>
    <w:rsid w:val="00442A9B"/>
    <w:rsid w:val="00443656"/>
    <w:rsid w:val="00443B25"/>
    <w:rsid w:val="00444BB1"/>
    <w:rsid w:val="0044558B"/>
    <w:rsid w:val="004509E3"/>
    <w:rsid w:val="004513B9"/>
    <w:rsid w:val="00451AD9"/>
    <w:rsid w:val="004575CB"/>
    <w:rsid w:val="00460416"/>
    <w:rsid w:val="00463649"/>
    <w:rsid w:val="0046630F"/>
    <w:rsid w:val="00467802"/>
    <w:rsid w:val="00470584"/>
    <w:rsid w:val="00472E38"/>
    <w:rsid w:val="00473530"/>
    <w:rsid w:val="00473614"/>
    <w:rsid w:val="004820D9"/>
    <w:rsid w:val="004829BD"/>
    <w:rsid w:val="00482C7D"/>
    <w:rsid w:val="004834BD"/>
    <w:rsid w:val="0048369A"/>
    <w:rsid w:val="00485EDC"/>
    <w:rsid w:val="004860A3"/>
    <w:rsid w:val="00486736"/>
    <w:rsid w:val="0049053D"/>
    <w:rsid w:val="004973D3"/>
    <w:rsid w:val="004A0DCC"/>
    <w:rsid w:val="004A1A74"/>
    <w:rsid w:val="004A4E6C"/>
    <w:rsid w:val="004A6C6D"/>
    <w:rsid w:val="004B6080"/>
    <w:rsid w:val="004C0DA7"/>
    <w:rsid w:val="004C11F6"/>
    <w:rsid w:val="004C2616"/>
    <w:rsid w:val="004C5D1B"/>
    <w:rsid w:val="004C5EEF"/>
    <w:rsid w:val="004C62D1"/>
    <w:rsid w:val="004D159E"/>
    <w:rsid w:val="004D1F57"/>
    <w:rsid w:val="004D2D8D"/>
    <w:rsid w:val="004D49A7"/>
    <w:rsid w:val="004D49FC"/>
    <w:rsid w:val="004D7437"/>
    <w:rsid w:val="004D753A"/>
    <w:rsid w:val="004D7E85"/>
    <w:rsid w:val="004E6CD0"/>
    <w:rsid w:val="004F253E"/>
    <w:rsid w:val="004F366A"/>
    <w:rsid w:val="004F47B4"/>
    <w:rsid w:val="004F4A4B"/>
    <w:rsid w:val="004F6511"/>
    <w:rsid w:val="00501EFF"/>
    <w:rsid w:val="00502E61"/>
    <w:rsid w:val="00502F4D"/>
    <w:rsid w:val="00506A88"/>
    <w:rsid w:val="00512184"/>
    <w:rsid w:val="005127D3"/>
    <w:rsid w:val="005143FD"/>
    <w:rsid w:val="00521A6C"/>
    <w:rsid w:val="0052273D"/>
    <w:rsid w:val="00524F83"/>
    <w:rsid w:val="00526863"/>
    <w:rsid w:val="00526B4A"/>
    <w:rsid w:val="005270F9"/>
    <w:rsid w:val="00532D2B"/>
    <w:rsid w:val="0053447E"/>
    <w:rsid w:val="00535B8C"/>
    <w:rsid w:val="0053681B"/>
    <w:rsid w:val="00536ADD"/>
    <w:rsid w:val="005379BF"/>
    <w:rsid w:val="00540427"/>
    <w:rsid w:val="0054105B"/>
    <w:rsid w:val="00542505"/>
    <w:rsid w:val="00543BA8"/>
    <w:rsid w:val="00543ED3"/>
    <w:rsid w:val="00544D24"/>
    <w:rsid w:val="00557EB3"/>
    <w:rsid w:val="00561BEF"/>
    <w:rsid w:val="00563441"/>
    <w:rsid w:val="00563791"/>
    <w:rsid w:val="00563C6F"/>
    <w:rsid w:val="00564622"/>
    <w:rsid w:val="00564F21"/>
    <w:rsid w:val="0056514C"/>
    <w:rsid w:val="005664A0"/>
    <w:rsid w:val="00573556"/>
    <w:rsid w:val="00573D2F"/>
    <w:rsid w:val="005766A6"/>
    <w:rsid w:val="005843DE"/>
    <w:rsid w:val="005845CE"/>
    <w:rsid w:val="00584ADF"/>
    <w:rsid w:val="00585334"/>
    <w:rsid w:val="005855A1"/>
    <w:rsid w:val="00587688"/>
    <w:rsid w:val="00593BF7"/>
    <w:rsid w:val="005967D7"/>
    <w:rsid w:val="0059682F"/>
    <w:rsid w:val="005969FB"/>
    <w:rsid w:val="005A2F04"/>
    <w:rsid w:val="005A3B33"/>
    <w:rsid w:val="005A5208"/>
    <w:rsid w:val="005A6392"/>
    <w:rsid w:val="005A65A5"/>
    <w:rsid w:val="005A6C59"/>
    <w:rsid w:val="005B0547"/>
    <w:rsid w:val="005B300B"/>
    <w:rsid w:val="005B58BD"/>
    <w:rsid w:val="005B6B53"/>
    <w:rsid w:val="005B7703"/>
    <w:rsid w:val="005C23D6"/>
    <w:rsid w:val="005D2BF7"/>
    <w:rsid w:val="005D31A3"/>
    <w:rsid w:val="005D52CF"/>
    <w:rsid w:val="005D5512"/>
    <w:rsid w:val="005D6407"/>
    <w:rsid w:val="005E3501"/>
    <w:rsid w:val="005E6723"/>
    <w:rsid w:val="005F2682"/>
    <w:rsid w:val="005F3D7B"/>
    <w:rsid w:val="005F525A"/>
    <w:rsid w:val="005F54F5"/>
    <w:rsid w:val="005F68FD"/>
    <w:rsid w:val="005F74C0"/>
    <w:rsid w:val="00603019"/>
    <w:rsid w:val="00605199"/>
    <w:rsid w:val="00605C02"/>
    <w:rsid w:val="0061215A"/>
    <w:rsid w:val="0061396C"/>
    <w:rsid w:val="006170F6"/>
    <w:rsid w:val="00624C5E"/>
    <w:rsid w:val="00626C52"/>
    <w:rsid w:val="00626FD8"/>
    <w:rsid w:val="00634192"/>
    <w:rsid w:val="006427A0"/>
    <w:rsid w:val="00643401"/>
    <w:rsid w:val="006452B5"/>
    <w:rsid w:val="006464CD"/>
    <w:rsid w:val="0064751E"/>
    <w:rsid w:val="00647D69"/>
    <w:rsid w:val="00650D85"/>
    <w:rsid w:val="00650FD5"/>
    <w:rsid w:val="006528C9"/>
    <w:rsid w:val="00655FFB"/>
    <w:rsid w:val="00656274"/>
    <w:rsid w:val="00656F10"/>
    <w:rsid w:val="006616DC"/>
    <w:rsid w:val="00665E67"/>
    <w:rsid w:val="00666D99"/>
    <w:rsid w:val="006673E8"/>
    <w:rsid w:val="00670028"/>
    <w:rsid w:val="00670970"/>
    <w:rsid w:val="00671EC0"/>
    <w:rsid w:val="00676F48"/>
    <w:rsid w:val="00677160"/>
    <w:rsid w:val="0067770B"/>
    <w:rsid w:val="00677A18"/>
    <w:rsid w:val="006821E6"/>
    <w:rsid w:val="00686056"/>
    <w:rsid w:val="0068654F"/>
    <w:rsid w:val="00687DA1"/>
    <w:rsid w:val="00691C32"/>
    <w:rsid w:val="00692223"/>
    <w:rsid w:val="006A1BF3"/>
    <w:rsid w:val="006A1D32"/>
    <w:rsid w:val="006A473D"/>
    <w:rsid w:val="006A5A9D"/>
    <w:rsid w:val="006A6279"/>
    <w:rsid w:val="006A64B0"/>
    <w:rsid w:val="006B0513"/>
    <w:rsid w:val="006B05ED"/>
    <w:rsid w:val="006B16E0"/>
    <w:rsid w:val="006B24BB"/>
    <w:rsid w:val="006B30D1"/>
    <w:rsid w:val="006B4004"/>
    <w:rsid w:val="006B4816"/>
    <w:rsid w:val="006B6EB4"/>
    <w:rsid w:val="006C12F7"/>
    <w:rsid w:val="006C4B90"/>
    <w:rsid w:val="006C5AD3"/>
    <w:rsid w:val="006C617F"/>
    <w:rsid w:val="006D1DB1"/>
    <w:rsid w:val="006D2C86"/>
    <w:rsid w:val="006D2CCA"/>
    <w:rsid w:val="006D6A17"/>
    <w:rsid w:val="006E2FA5"/>
    <w:rsid w:val="006E3221"/>
    <w:rsid w:val="006E5B11"/>
    <w:rsid w:val="006E7358"/>
    <w:rsid w:val="006F5115"/>
    <w:rsid w:val="006F66DF"/>
    <w:rsid w:val="006F6D75"/>
    <w:rsid w:val="00705766"/>
    <w:rsid w:val="0070671A"/>
    <w:rsid w:val="00706E27"/>
    <w:rsid w:val="00711CDC"/>
    <w:rsid w:val="0071213F"/>
    <w:rsid w:val="00714960"/>
    <w:rsid w:val="007172D9"/>
    <w:rsid w:val="00720888"/>
    <w:rsid w:val="00720A17"/>
    <w:rsid w:val="0072138D"/>
    <w:rsid w:val="00726832"/>
    <w:rsid w:val="0072746D"/>
    <w:rsid w:val="007312AA"/>
    <w:rsid w:val="007342AA"/>
    <w:rsid w:val="00734C1B"/>
    <w:rsid w:val="007408CA"/>
    <w:rsid w:val="00742BA9"/>
    <w:rsid w:val="007460A4"/>
    <w:rsid w:val="00750D3B"/>
    <w:rsid w:val="00750F80"/>
    <w:rsid w:val="007516F0"/>
    <w:rsid w:val="0075197C"/>
    <w:rsid w:val="00753A99"/>
    <w:rsid w:val="007550AB"/>
    <w:rsid w:val="00756E07"/>
    <w:rsid w:val="007604FB"/>
    <w:rsid w:val="007653DA"/>
    <w:rsid w:val="0076614E"/>
    <w:rsid w:val="00767FF2"/>
    <w:rsid w:val="00773725"/>
    <w:rsid w:val="007739C0"/>
    <w:rsid w:val="00776F43"/>
    <w:rsid w:val="0078427C"/>
    <w:rsid w:val="00784EB7"/>
    <w:rsid w:val="00792794"/>
    <w:rsid w:val="0079305A"/>
    <w:rsid w:val="00796D05"/>
    <w:rsid w:val="007A1421"/>
    <w:rsid w:val="007A1D1C"/>
    <w:rsid w:val="007A1E84"/>
    <w:rsid w:val="007A211F"/>
    <w:rsid w:val="007A30C4"/>
    <w:rsid w:val="007A6FE8"/>
    <w:rsid w:val="007A7E33"/>
    <w:rsid w:val="007B197A"/>
    <w:rsid w:val="007B29C4"/>
    <w:rsid w:val="007B2FB1"/>
    <w:rsid w:val="007B4AD8"/>
    <w:rsid w:val="007B6CCD"/>
    <w:rsid w:val="007C008A"/>
    <w:rsid w:val="007C0C20"/>
    <w:rsid w:val="007C2A5C"/>
    <w:rsid w:val="007C69DC"/>
    <w:rsid w:val="007C7944"/>
    <w:rsid w:val="007C7C55"/>
    <w:rsid w:val="007D7A4D"/>
    <w:rsid w:val="007E03C0"/>
    <w:rsid w:val="007E2034"/>
    <w:rsid w:val="007E2836"/>
    <w:rsid w:val="007E568A"/>
    <w:rsid w:val="007E651C"/>
    <w:rsid w:val="007F0D03"/>
    <w:rsid w:val="007F4828"/>
    <w:rsid w:val="008005C8"/>
    <w:rsid w:val="008006BE"/>
    <w:rsid w:val="00800F7D"/>
    <w:rsid w:val="00801BCD"/>
    <w:rsid w:val="00802289"/>
    <w:rsid w:val="00802876"/>
    <w:rsid w:val="0080397A"/>
    <w:rsid w:val="00807054"/>
    <w:rsid w:val="0080728A"/>
    <w:rsid w:val="008117D0"/>
    <w:rsid w:val="00812D6B"/>
    <w:rsid w:val="00813DBC"/>
    <w:rsid w:val="00813F7A"/>
    <w:rsid w:val="00821F18"/>
    <w:rsid w:val="00822995"/>
    <w:rsid w:val="00822FC7"/>
    <w:rsid w:val="00824FEC"/>
    <w:rsid w:val="00825CB7"/>
    <w:rsid w:val="0082696E"/>
    <w:rsid w:val="00830A4F"/>
    <w:rsid w:val="0083625B"/>
    <w:rsid w:val="0083784E"/>
    <w:rsid w:val="00841D47"/>
    <w:rsid w:val="00843267"/>
    <w:rsid w:val="0084432D"/>
    <w:rsid w:val="008443BF"/>
    <w:rsid w:val="0084530F"/>
    <w:rsid w:val="00850BE5"/>
    <w:rsid w:val="00852287"/>
    <w:rsid w:val="00853567"/>
    <w:rsid w:val="00855A9A"/>
    <w:rsid w:val="00855E24"/>
    <w:rsid w:val="00856A0E"/>
    <w:rsid w:val="00861870"/>
    <w:rsid w:val="008631CE"/>
    <w:rsid w:val="0086443E"/>
    <w:rsid w:val="00872FD2"/>
    <w:rsid w:val="00873D35"/>
    <w:rsid w:val="00876869"/>
    <w:rsid w:val="00893A66"/>
    <w:rsid w:val="00894F9A"/>
    <w:rsid w:val="00896BD0"/>
    <w:rsid w:val="00897E23"/>
    <w:rsid w:val="008B26FD"/>
    <w:rsid w:val="008B2E86"/>
    <w:rsid w:val="008B2F37"/>
    <w:rsid w:val="008B3CF0"/>
    <w:rsid w:val="008C0EAA"/>
    <w:rsid w:val="008C2533"/>
    <w:rsid w:val="008C58E8"/>
    <w:rsid w:val="008C5A91"/>
    <w:rsid w:val="008D24E1"/>
    <w:rsid w:val="008D610F"/>
    <w:rsid w:val="008E23CC"/>
    <w:rsid w:val="008E2830"/>
    <w:rsid w:val="008E3008"/>
    <w:rsid w:val="008E7B8E"/>
    <w:rsid w:val="008E7ED3"/>
    <w:rsid w:val="008F31BA"/>
    <w:rsid w:val="008F377A"/>
    <w:rsid w:val="008F4E81"/>
    <w:rsid w:val="008F5810"/>
    <w:rsid w:val="008F7BA8"/>
    <w:rsid w:val="00904097"/>
    <w:rsid w:val="009053F7"/>
    <w:rsid w:val="00905422"/>
    <w:rsid w:val="009066A6"/>
    <w:rsid w:val="009070D1"/>
    <w:rsid w:val="00911AB0"/>
    <w:rsid w:val="00913D0E"/>
    <w:rsid w:val="0092483B"/>
    <w:rsid w:val="00930258"/>
    <w:rsid w:val="00930583"/>
    <w:rsid w:val="00930A39"/>
    <w:rsid w:val="0093231E"/>
    <w:rsid w:val="00934055"/>
    <w:rsid w:val="009347CD"/>
    <w:rsid w:val="009350F0"/>
    <w:rsid w:val="009412BF"/>
    <w:rsid w:val="009419A4"/>
    <w:rsid w:val="009423C5"/>
    <w:rsid w:val="00943BA0"/>
    <w:rsid w:val="00952D32"/>
    <w:rsid w:val="00954645"/>
    <w:rsid w:val="00956E68"/>
    <w:rsid w:val="00957BA0"/>
    <w:rsid w:val="00960968"/>
    <w:rsid w:val="00961F34"/>
    <w:rsid w:val="00971261"/>
    <w:rsid w:val="0097715F"/>
    <w:rsid w:val="00977BEA"/>
    <w:rsid w:val="00982B9A"/>
    <w:rsid w:val="009832DD"/>
    <w:rsid w:val="009909A1"/>
    <w:rsid w:val="00991538"/>
    <w:rsid w:val="00992A4B"/>
    <w:rsid w:val="0099372E"/>
    <w:rsid w:val="00994C96"/>
    <w:rsid w:val="00995104"/>
    <w:rsid w:val="00995D30"/>
    <w:rsid w:val="009960F2"/>
    <w:rsid w:val="00997E1F"/>
    <w:rsid w:val="009A0464"/>
    <w:rsid w:val="009A44A5"/>
    <w:rsid w:val="009B058D"/>
    <w:rsid w:val="009B139F"/>
    <w:rsid w:val="009B2D95"/>
    <w:rsid w:val="009B452A"/>
    <w:rsid w:val="009B4EA8"/>
    <w:rsid w:val="009B60B8"/>
    <w:rsid w:val="009B78B3"/>
    <w:rsid w:val="009C403B"/>
    <w:rsid w:val="009C502B"/>
    <w:rsid w:val="009C6C16"/>
    <w:rsid w:val="009D3564"/>
    <w:rsid w:val="009D5174"/>
    <w:rsid w:val="009D57E3"/>
    <w:rsid w:val="009D7F97"/>
    <w:rsid w:val="009E0038"/>
    <w:rsid w:val="009E006D"/>
    <w:rsid w:val="009E02B4"/>
    <w:rsid w:val="009E0A65"/>
    <w:rsid w:val="009E19DE"/>
    <w:rsid w:val="009E34EE"/>
    <w:rsid w:val="009E5122"/>
    <w:rsid w:val="009E66CE"/>
    <w:rsid w:val="009E6D3B"/>
    <w:rsid w:val="009E6E8A"/>
    <w:rsid w:val="00A043CA"/>
    <w:rsid w:val="00A063EE"/>
    <w:rsid w:val="00A12074"/>
    <w:rsid w:val="00A13F7C"/>
    <w:rsid w:val="00A161A4"/>
    <w:rsid w:val="00A17957"/>
    <w:rsid w:val="00A21B8A"/>
    <w:rsid w:val="00A2213E"/>
    <w:rsid w:val="00A22C63"/>
    <w:rsid w:val="00A253B8"/>
    <w:rsid w:val="00A30FC3"/>
    <w:rsid w:val="00A31E80"/>
    <w:rsid w:val="00A32258"/>
    <w:rsid w:val="00A33333"/>
    <w:rsid w:val="00A3485B"/>
    <w:rsid w:val="00A3722C"/>
    <w:rsid w:val="00A37554"/>
    <w:rsid w:val="00A43B3E"/>
    <w:rsid w:val="00A5359B"/>
    <w:rsid w:val="00A6066A"/>
    <w:rsid w:val="00A62940"/>
    <w:rsid w:val="00A659E1"/>
    <w:rsid w:val="00A704B4"/>
    <w:rsid w:val="00A72172"/>
    <w:rsid w:val="00A72778"/>
    <w:rsid w:val="00A7281A"/>
    <w:rsid w:val="00A80E26"/>
    <w:rsid w:val="00A82094"/>
    <w:rsid w:val="00A85445"/>
    <w:rsid w:val="00A900CC"/>
    <w:rsid w:val="00A9095F"/>
    <w:rsid w:val="00A94861"/>
    <w:rsid w:val="00A958FA"/>
    <w:rsid w:val="00A97EDE"/>
    <w:rsid w:val="00AA34E3"/>
    <w:rsid w:val="00AA4905"/>
    <w:rsid w:val="00AA538C"/>
    <w:rsid w:val="00AA6EEE"/>
    <w:rsid w:val="00AA7778"/>
    <w:rsid w:val="00AB32A9"/>
    <w:rsid w:val="00AB3CA3"/>
    <w:rsid w:val="00AB3DD5"/>
    <w:rsid w:val="00AC02AA"/>
    <w:rsid w:val="00AC1D94"/>
    <w:rsid w:val="00AC2081"/>
    <w:rsid w:val="00AD1749"/>
    <w:rsid w:val="00AD4BFC"/>
    <w:rsid w:val="00AD6475"/>
    <w:rsid w:val="00AE0FC7"/>
    <w:rsid w:val="00AE1530"/>
    <w:rsid w:val="00AE19B7"/>
    <w:rsid w:val="00AE30D7"/>
    <w:rsid w:val="00AE668B"/>
    <w:rsid w:val="00AE6C40"/>
    <w:rsid w:val="00AE710A"/>
    <w:rsid w:val="00AE733C"/>
    <w:rsid w:val="00AF2A10"/>
    <w:rsid w:val="00AF34A3"/>
    <w:rsid w:val="00B007B4"/>
    <w:rsid w:val="00B020E4"/>
    <w:rsid w:val="00B055B1"/>
    <w:rsid w:val="00B0660D"/>
    <w:rsid w:val="00B06697"/>
    <w:rsid w:val="00B07477"/>
    <w:rsid w:val="00B137F1"/>
    <w:rsid w:val="00B176C3"/>
    <w:rsid w:val="00B20E03"/>
    <w:rsid w:val="00B24064"/>
    <w:rsid w:val="00B253A1"/>
    <w:rsid w:val="00B262AB"/>
    <w:rsid w:val="00B2702C"/>
    <w:rsid w:val="00B30D35"/>
    <w:rsid w:val="00B33CB7"/>
    <w:rsid w:val="00B352FA"/>
    <w:rsid w:val="00B36B5C"/>
    <w:rsid w:val="00B36D31"/>
    <w:rsid w:val="00B3754E"/>
    <w:rsid w:val="00B43146"/>
    <w:rsid w:val="00B43EEE"/>
    <w:rsid w:val="00B44A23"/>
    <w:rsid w:val="00B45159"/>
    <w:rsid w:val="00B46969"/>
    <w:rsid w:val="00B47A1D"/>
    <w:rsid w:val="00B47CC0"/>
    <w:rsid w:val="00B508A8"/>
    <w:rsid w:val="00B518A0"/>
    <w:rsid w:val="00B55B9C"/>
    <w:rsid w:val="00B600A5"/>
    <w:rsid w:val="00B615EA"/>
    <w:rsid w:val="00B617CD"/>
    <w:rsid w:val="00B61848"/>
    <w:rsid w:val="00B6324A"/>
    <w:rsid w:val="00B66FC9"/>
    <w:rsid w:val="00B71759"/>
    <w:rsid w:val="00B7211E"/>
    <w:rsid w:val="00B7599D"/>
    <w:rsid w:val="00B76712"/>
    <w:rsid w:val="00B76AF5"/>
    <w:rsid w:val="00B7734A"/>
    <w:rsid w:val="00B77C4F"/>
    <w:rsid w:val="00B77CB6"/>
    <w:rsid w:val="00B805E0"/>
    <w:rsid w:val="00B87C07"/>
    <w:rsid w:val="00B955FF"/>
    <w:rsid w:val="00B962CB"/>
    <w:rsid w:val="00BA03EA"/>
    <w:rsid w:val="00BA5F35"/>
    <w:rsid w:val="00BA6454"/>
    <w:rsid w:val="00BB17E6"/>
    <w:rsid w:val="00BB3518"/>
    <w:rsid w:val="00BB3B47"/>
    <w:rsid w:val="00BB4A7A"/>
    <w:rsid w:val="00BB6CB3"/>
    <w:rsid w:val="00BB7632"/>
    <w:rsid w:val="00BC0047"/>
    <w:rsid w:val="00BC09AD"/>
    <w:rsid w:val="00BC17DC"/>
    <w:rsid w:val="00BC1C76"/>
    <w:rsid w:val="00BC266F"/>
    <w:rsid w:val="00BC34BB"/>
    <w:rsid w:val="00BC39D2"/>
    <w:rsid w:val="00BC547A"/>
    <w:rsid w:val="00BC7685"/>
    <w:rsid w:val="00BD11F9"/>
    <w:rsid w:val="00BD1EAB"/>
    <w:rsid w:val="00BD2206"/>
    <w:rsid w:val="00BD60EA"/>
    <w:rsid w:val="00BD6784"/>
    <w:rsid w:val="00BD7C1F"/>
    <w:rsid w:val="00BE3894"/>
    <w:rsid w:val="00BE48D2"/>
    <w:rsid w:val="00BE6F1B"/>
    <w:rsid w:val="00BE77B1"/>
    <w:rsid w:val="00BF67EE"/>
    <w:rsid w:val="00BF6F8B"/>
    <w:rsid w:val="00C0226D"/>
    <w:rsid w:val="00C04DCF"/>
    <w:rsid w:val="00C04F0F"/>
    <w:rsid w:val="00C06177"/>
    <w:rsid w:val="00C075EA"/>
    <w:rsid w:val="00C12258"/>
    <w:rsid w:val="00C12305"/>
    <w:rsid w:val="00C14C5A"/>
    <w:rsid w:val="00C158DA"/>
    <w:rsid w:val="00C23990"/>
    <w:rsid w:val="00C244CE"/>
    <w:rsid w:val="00C25EC1"/>
    <w:rsid w:val="00C33DF0"/>
    <w:rsid w:val="00C34C43"/>
    <w:rsid w:val="00C41134"/>
    <w:rsid w:val="00C41BEB"/>
    <w:rsid w:val="00C43367"/>
    <w:rsid w:val="00C442F2"/>
    <w:rsid w:val="00C45625"/>
    <w:rsid w:val="00C456AE"/>
    <w:rsid w:val="00C50A26"/>
    <w:rsid w:val="00C61AC6"/>
    <w:rsid w:val="00C61B6B"/>
    <w:rsid w:val="00C623AA"/>
    <w:rsid w:val="00C6394D"/>
    <w:rsid w:val="00C648C7"/>
    <w:rsid w:val="00C67491"/>
    <w:rsid w:val="00C67530"/>
    <w:rsid w:val="00C702C7"/>
    <w:rsid w:val="00C72DF4"/>
    <w:rsid w:val="00C73A96"/>
    <w:rsid w:val="00C7429C"/>
    <w:rsid w:val="00C762EB"/>
    <w:rsid w:val="00C77DEA"/>
    <w:rsid w:val="00C81837"/>
    <w:rsid w:val="00C85FC4"/>
    <w:rsid w:val="00C8703B"/>
    <w:rsid w:val="00C94C4A"/>
    <w:rsid w:val="00CA1AD8"/>
    <w:rsid w:val="00CA4E63"/>
    <w:rsid w:val="00CA5B05"/>
    <w:rsid w:val="00CA6553"/>
    <w:rsid w:val="00CB2C16"/>
    <w:rsid w:val="00CB31E0"/>
    <w:rsid w:val="00CB4E61"/>
    <w:rsid w:val="00CB5ACF"/>
    <w:rsid w:val="00CC0231"/>
    <w:rsid w:val="00CC2A1A"/>
    <w:rsid w:val="00CC58E8"/>
    <w:rsid w:val="00CC5E8F"/>
    <w:rsid w:val="00CC69B1"/>
    <w:rsid w:val="00CD14A8"/>
    <w:rsid w:val="00CD5842"/>
    <w:rsid w:val="00CE1D9F"/>
    <w:rsid w:val="00CE1E1B"/>
    <w:rsid w:val="00CE4214"/>
    <w:rsid w:val="00CF07A9"/>
    <w:rsid w:val="00CF084F"/>
    <w:rsid w:val="00CF3C31"/>
    <w:rsid w:val="00CF3CA4"/>
    <w:rsid w:val="00CF3EA1"/>
    <w:rsid w:val="00CF546E"/>
    <w:rsid w:val="00CF7BB7"/>
    <w:rsid w:val="00CF7F7F"/>
    <w:rsid w:val="00D0023B"/>
    <w:rsid w:val="00D002E3"/>
    <w:rsid w:val="00D0038F"/>
    <w:rsid w:val="00D01239"/>
    <w:rsid w:val="00D01AD8"/>
    <w:rsid w:val="00D03C22"/>
    <w:rsid w:val="00D05AF5"/>
    <w:rsid w:val="00D10E36"/>
    <w:rsid w:val="00D116E0"/>
    <w:rsid w:val="00D149B4"/>
    <w:rsid w:val="00D15035"/>
    <w:rsid w:val="00D15EC1"/>
    <w:rsid w:val="00D16C23"/>
    <w:rsid w:val="00D173FA"/>
    <w:rsid w:val="00D20D13"/>
    <w:rsid w:val="00D21E24"/>
    <w:rsid w:val="00D224C4"/>
    <w:rsid w:val="00D236E8"/>
    <w:rsid w:val="00D27B73"/>
    <w:rsid w:val="00D32371"/>
    <w:rsid w:val="00D329DF"/>
    <w:rsid w:val="00D33A2B"/>
    <w:rsid w:val="00D35C72"/>
    <w:rsid w:val="00D36E73"/>
    <w:rsid w:val="00D407CA"/>
    <w:rsid w:val="00D41E6A"/>
    <w:rsid w:val="00D4226D"/>
    <w:rsid w:val="00D4280C"/>
    <w:rsid w:val="00D445B7"/>
    <w:rsid w:val="00D46CC5"/>
    <w:rsid w:val="00D5038F"/>
    <w:rsid w:val="00D5297D"/>
    <w:rsid w:val="00D52A6A"/>
    <w:rsid w:val="00D53D4E"/>
    <w:rsid w:val="00D55351"/>
    <w:rsid w:val="00D574B4"/>
    <w:rsid w:val="00D61DFC"/>
    <w:rsid w:val="00D6230E"/>
    <w:rsid w:val="00D668FE"/>
    <w:rsid w:val="00D710FC"/>
    <w:rsid w:val="00D71149"/>
    <w:rsid w:val="00D7145E"/>
    <w:rsid w:val="00D732C2"/>
    <w:rsid w:val="00D74462"/>
    <w:rsid w:val="00D746F4"/>
    <w:rsid w:val="00D768FD"/>
    <w:rsid w:val="00D7732D"/>
    <w:rsid w:val="00D77643"/>
    <w:rsid w:val="00D80683"/>
    <w:rsid w:val="00D812B0"/>
    <w:rsid w:val="00D815D0"/>
    <w:rsid w:val="00D8495C"/>
    <w:rsid w:val="00D855FD"/>
    <w:rsid w:val="00D859E3"/>
    <w:rsid w:val="00D91C72"/>
    <w:rsid w:val="00DA1962"/>
    <w:rsid w:val="00DA37E3"/>
    <w:rsid w:val="00DA53B6"/>
    <w:rsid w:val="00DB0CB1"/>
    <w:rsid w:val="00DB5CC2"/>
    <w:rsid w:val="00DB5D79"/>
    <w:rsid w:val="00DB651C"/>
    <w:rsid w:val="00DC1476"/>
    <w:rsid w:val="00DC1D59"/>
    <w:rsid w:val="00DC442A"/>
    <w:rsid w:val="00DC4D91"/>
    <w:rsid w:val="00DC65D0"/>
    <w:rsid w:val="00DC708A"/>
    <w:rsid w:val="00DD22B6"/>
    <w:rsid w:val="00DD5A1B"/>
    <w:rsid w:val="00DD6C67"/>
    <w:rsid w:val="00DD715C"/>
    <w:rsid w:val="00DE18BC"/>
    <w:rsid w:val="00DE2D71"/>
    <w:rsid w:val="00DE65BA"/>
    <w:rsid w:val="00DF4B62"/>
    <w:rsid w:val="00DF6613"/>
    <w:rsid w:val="00E03859"/>
    <w:rsid w:val="00E0517E"/>
    <w:rsid w:val="00E1161E"/>
    <w:rsid w:val="00E13B23"/>
    <w:rsid w:val="00E15DEF"/>
    <w:rsid w:val="00E15E9E"/>
    <w:rsid w:val="00E254D5"/>
    <w:rsid w:val="00E26113"/>
    <w:rsid w:val="00E266A4"/>
    <w:rsid w:val="00E27D68"/>
    <w:rsid w:val="00E3012E"/>
    <w:rsid w:val="00E307B8"/>
    <w:rsid w:val="00E32621"/>
    <w:rsid w:val="00E35306"/>
    <w:rsid w:val="00E35847"/>
    <w:rsid w:val="00E36C7A"/>
    <w:rsid w:val="00E4362E"/>
    <w:rsid w:val="00E455A1"/>
    <w:rsid w:val="00E50493"/>
    <w:rsid w:val="00E50521"/>
    <w:rsid w:val="00E51605"/>
    <w:rsid w:val="00E54BEF"/>
    <w:rsid w:val="00E567CD"/>
    <w:rsid w:val="00E56993"/>
    <w:rsid w:val="00E56F4A"/>
    <w:rsid w:val="00E63428"/>
    <w:rsid w:val="00E65900"/>
    <w:rsid w:val="00E70528"/>
    <w:rsid w:val="00E751FE"/>
    <w:rsid w:val="00E7797E"/>
    <w:rsid w:val="00E82807"/>
    <w:rsid w:val="00E86A36"/>
    <w:rsid w:val="00E87432"/>
    <w:rsid w:val="00E91944"/>
    <w:rsid w:val="00E91BBA"/>
    <w:rsid w:val="00E943B8"/>
    <w:rsid w:val="00E94C20"/>
    <w:rsid w:val="00EA267B"/>
    <w:rsid w:val="00EA300D"/>
    <w:rsid w:val="00EA3090"/>
    <w:rsid w:val="00EA480E"/>
    <w:rsid w:val="00EA494E"/>
    <w:rsid w:val="00EA4BCA"/>
    <w:rsid w:val="00EA6B39"/>
    <w:rsid w:val="00EB209E"/>
    <w:rsid w:val="00EB332C"/>
    <w:rsid w:val="00EB5CD1"/>
    <w:rsid w:val="00EB723B"/>
    <w:rsid w:val="00EB767D"/>
    <w:rsid w:val="00EB7ED6"/>
    <w:rsid w:val="00EC2F2C"/>
    <w:rsid w:val="00EC3A94"/>
    <w:rsid w:val="00EC63E3"/>
    <w:rsid w:val="00EC6CC9"/>
    <w:rsid w:val="00ED3636"/>
    <w:rsid w:val="00ED5DBC"/>
    <w:rsid w:val="00EE16D4"/>
    <w:rsid w:val="00EE2C5B"/>
    <w:rsid w:val="00EE2C87"/>
    <w:rsid w:val="00EE61A2"/>
    <w:rsid w:val="00EF08E4"/>
    <w:rsid w:val="00EF0925"/>
    <w:rsid w:val="00EF0A8D"/>
    <w:rsid w:val="00EF35EF"/>
    <w:rsid w:val="00EF4086"/>
    <w:rsid w:val="00EF461B"/>
    <w:rsid w:val="00EF727C"/>
    <w:rsid w:val="00EF72E4"/>
    <w:rsid w:val="00F04206"/>
    <w:rsid w:val="00F045B9"/>
    <w:rsid w:val="00F05C7B"/>
    <w:rsid w:val="00F063B4"/>
    <w:rsid w:val="00F1389A"/>
    <w:rsid w:val="00F140DF"/>
    <w:rsid w:val="00F1518C"/>
    <w:rsid w:val="00F15D66"/>
    <w:rsid w:val="00F15F5C"/>
    <w:rsid w:val="00F15F76"/>
    <w:rsid w:val="00F17283"/>
    <w:rsid w:val="00F23266"/>
    <w:rsid w:val="00F2670D"/>
    <w:rsid w:val="00F26D2D"/>
    <w:rsid w:val="00F30144"/>
    <w:rsid w:val="00F3081C"/>
    <w:rsid w:val="00F3328F"/>
    <w:rsid w:val="00F34FF2"/>
    <w:rsid w:val="00F4040E"/>
    <w:rsid w:val="00F448EC"/>
    <w:rsid w:val="00F44C47"/>
    <w:rsid w:val="00F45EF7"/>
    <w:rsid w:val="00F5005C"/>
    <w:rsid w:val="00F506EF"/>
    <w:rsid w:val="00F50AD6"/>
    <w:rsid w:val="00F5140D"/>
    <w:rsid w:val="00F53D7B"/>
    <w:rsid w:val="00F55E8A"/>
    <w:rsid w:val="00F565A3"/>
    <w:rsid w:val="00F600EA"/>
    <w:rsid w:val="00F620D8"/>
    <w:rsid w:val="00F62E42"/>
    <w:rsid w:val="00F64334"/>
    <w:rsid w:val="00F64852"/>
    <w:rsid w:val="00F66825"/>
    <w:rsid w:val="00F66A41"/>
    <w:rsid w:val="00F67908"/>
    <w:rsid w:val="00F7435C"/>
    <w:rsid w:val="00F74B10"/>
    <w:rsid w:val="00F863B7"/>
    <w:rsid w:val="00F9119D"/>
    <w:rsid w:val="00F919DA"/>
    <w:rsid w:val="00F941FF"/>
    <w:rsid w:val="00F96E60"/>
    <w:rsid w:val="00F973D7"/>
    <w:rsid w:val="00FA1C14"/>
    <w:rsid w:val="00FA3AE3"/>
    <w:rsid w:val="00FA3FFD"/>
    <w:rsid w:val="00FA4D33"/>
    <w:rsid w:val="00FA5197"/>
    <w:rsid w:val="00FA5AD2"/>
    <w:rsid w:val="00FA6EC4"/>
    <w:rsid w:val="00FB0CB7"/>
    <w:rsid w:val="00FB25C1"/>
    <w:rsid w:val="00FB6C38"/>
    <w:rsid w:val="00FC1E31"/>
    <w:rsid w:val="00FC2104"/>
    <w:rsid w:val="00FC265C"/>
    <w:rsid w:val="00FC2B0D"/>
    <w:rsid w:val="00FC3A87"/>
    <w:rsid w:val="00FC5C06"/>
    <w:rsid w:val="00FC70AF"/>
    <w:rsid w:val="00FD496B"/>
    <w:rsid w:val="00FD505C"/>
    <w:rsid w:val="00FD5421"/>
    <w:rsid w:val="00FD57E9"/>
    <w:rsid w:val="00FD6B1B"/>
    <w:rsid w:val="00FD7A88"/>
    <w:rsid w:val="00FE4CD1"/>
    <w:rsid w:val="00FE5BFC"/>
    <w:rsid w:val="00FE7DDE"/>
    <w:rsid w:val="00FE7E6F"/>
    <w:rsid w:val="00FF0F52"/>
    <w:rsid w:val="00FF1E8D"/>
    <w:rsid w:val="00FF23CF"/>
    <w:rsid w:val="00FF67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CFD464"/>
  <w15:chartTrackingRefBased/>
  <w15:docId w15:val="{8719C507-CB17-4C82-BE13-F925EB1A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1530"/>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Heading1">
    <w:name w:val="heading 1"/>
    <w:basedOn w:val="Normal"/>
    <w:next w:val="Normal"/>
    <w:link w:val="Heading1Char"/>
    <w:uiPriority w:val="9"/>
    <w:qFormat/>
    <w:rsid w:val="007550AB"/>
    <w:pPr>
      <w:keepNext/>
      <w:keepLines/>
      <w:outlineLvl w:val="0"/>
    </w:pPr>
    <w:rPr>
      <w:rFonts w:eastAsia="MingLiU"/>
      <w:b/>
      <w:bCs/>
      <w:color w:val="62B5E5"/>
      <w:szCs w:val="28"/>
    </w:rPr>
  </w:style>
  <w:style w:type="paragraph" w:styleId="Heading2">
    <w:name w:val="heading 2"/>
    <w:basedOn w:val="Normal"/>
    <w:next w:val="Normal"/>
    <w:link w:val="Heading2Char"/>
    <w:uiPriority w:val="9"/>
    <w:qFormat/>
    <w:rsid w:val="007550AB"/>
    <w:pPr>
      <w:keepNext/>
      <w:keepLines/>
      <w:outlineLvl w:val="1"/>
    </w:pPr>
    <w:rPr>
      <w:rFonts w:eastAsia="MingLiU"/>
      <w:b/>
      <w:bCs/>
      <w:color w:val="000000"/>
      <w:szCs w:val="26"/>
    </w:rPr>
  </w:style>
  <w:style w:type="paragraph" w:styleId="Heading3">
    <w:name w:val="heading 3"/>
    <w:basedOn w:val="Normal"/>
    <w:next w:val="Normal"/>
    <w:link w:val="Heading3Char"/>
    <w:uiPriority w:val="9"/>
    <w:qFormat/>
    <w:rsid w:val="00CC2A1A"/>
    <w:pPr>
      <w:keepNext/>
      <w:keepLines/>
      <w:outlineLvl w:val="2"/>
    </w:pPr>
    <w:rPr>
      <w:rFonts w:eastAsia="MingLiU"/>
      <w:b/>
      <w:bCs/>
      <w:color w:val="75787B"/>
    </w:rPr>
  </w:style>
  <w:style w:type="paragraph" w:styleId="Heading4">
    <w:name w:val="heading 4"/>
    <w:basedOn w:val="Normal"/>
    <w:next w:val="Normal"/>
    <w:link w:val="Heading4Char"/>
    <w:uiPriority w:val="9"/>
    <w:qFormat/>
    <w:rsid w:val="00255D53"/>
    <w:pPr>
      <w:keepNext/>
      <w:keepLines/>
      <w:tabs>
        <w:tab w:val="left" w:pos="340"/>
      </w:tabs>
      <w:outlineLvl w:val="3"/>
    </w:pPr>
    <w:rPr>
      <w:rFonts w:eastAsia="MingLiU"/>
      <w:b/>
      <w:bCs/>
      <w:iCs/>
      <w:color w:val="000000"/>
    </w:rPr>
  </w:style>
  <w:style w:type="paragraph" w:styleId="Heading5">
    <w:name w:val="heading 5"/>
    <w:basedOn w:val="Normal"/>
    <w:next w:val="Normal"/>
    <w:link w:val="Heading5Char"/>
    <w:uiPriority w:val="9"/>
    <w:qFormat/>
    <w:rsid w:val="004C5D1B"/>
    <w:pPr>
      <w:keepNext/>
      <w:keepLines/>
      <w:spacing w:before="4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550AB"/>
    <w:rPr>
      <w:rFonts w:ascii="Verdana" w:eastAsia="MingLiU" w:hAnsi="Verdana" w:cs="Times New Roman"/>
      <w:b/>
      <w:bCs/>
      <w:color w:val="62B5E5"/>
      <w:sz w:val="18"/>
      <w:szCs w:val="28"/>
      <w:lang w:val="en-US"/>
    </w:rPr>
  </w:style>
  <w:style w:type="character" w:customStyle="1" w:styleId="Heading2Char">
    <w:name w:val="Heading 2 Char"/>
    <w:link w:val="Heading2"/>
    <w:uiPriority w:val="9"/>
    <w:rsid w:val="007550AB"/>
    <w:rPr>
      <w:rFonts w:ascii="Verdana" w:eastAsia="MingLiU" w:hAnsi="Verdana" w:cs="Times New Roman"/>
      <w:b/>
      <w:bCs/>
      <w:color w:val="000000"/>
      <w:sz w:val="18"/>
      <w:szCs w:val="26"/>
      <w:lang w:val="en-US"/>
    </w:rPr>
  </w:style>
  <w:style w:type="table" w:styleId="TableGrid">
    <w:name w:val="Table Grid"/>
    <w:basedOn w:val="TableNormal"/>
    <w:uiPriority w:val="59"/>
    <w:rsid w:val="001E016B"/>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99"/>
    <w:rsid w:val="008631CE"/>
    <w:pPr>
      <w:tabs>
        <w:tab w:val="center" w:pos="4513"/>
        <w:tab w:val="right" w:pos="9026"/>
      </w:tabs>
    </w:pPr>
    <w:rPr>
      <w:b/>
      <w:sz w:val="14"/>
      <w:szCs w:val="22"/>
      <w:lang w:val="en-US" w:eastAsia="en-US"/>
    </w:rPr>
  </w:style>
  <w:style w:type="character" w:customStyle="1" w:styleId="HeaderChar">
    <w:name w:val="Header Char"/>
    <w:link w:val="Header"/>
    <w:uiPriority w:val="99"/>
    <w:rsid w:val="008631CE"/>
    <w:rPr>
      <w:b/>
      <w:sz w:val="14"/>
      <w:lang w:val="en-US"/>
    </w:rPr>
  </w:style>
  <w:style w:type="paragraph" w:styleId="Footer">
    <w:name w:val="footer"/>
    <w:basedOn w:val="Normal"/>
    <w:link w:val="FooterChar"/>
    <w:uiPriority w:val="99"/>
    <w:rsid w:val="001975EF"/>
    <w:pPr>
      <w:tabs>
        <w:tab w:val="right" w:pos="7371"/>
      </w:tabs>
      <w:spacing w:line="200" w:lineRule="atLeast"/>
    </w:pPr>
    <w:rPr>
      <w:sz w:val="16"/>
    </w:rPr>
  </w:style>
  <w:style w:type="character" w:customStyle="1" w:styleId="FooterChar">
    <w:name w:val="Footer Char"/>
    <w:link w:val="Footer"/>
    <w:uiPriority w:val="99"/>
    <w:rsid w:val="007550AB"/>
    <w:rPr>
      <w:sz w:val="16"/>
      <w:lang w:val="en-US"/>
    </w:rPr>
  </w:style>
  <w:style w:type="paragraph" w:styleId="BalloonText">
    <w:name w:val="Balloon Text"/>
    <w:basedOn w:val="Normal"/>
    <w:link w:val="BalloonTextChar"/>
    <w:uiPriority w:val="99"/>
    <w:semiHidden/>
    <w:rsid w:val="00C702C7"/>
    <w:rPr>
      <w:rFonts w:ascii="Tahoma" w:hAnsi="Tahoma" w:cs="Tahoma"/>
      <w:sz w:val="16"/>
      <w:szCs w:val="16"/>
    </w:rPr>
  </w:style>
  <w:style w:type="character" w:customStyle="1" w:styleId="BalloonTextChar">
    <w:name w:val="Balloon Text Char"/>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uiPriority w:val="99"/>
    <w:semiHidden/>
    <w:rsid w:val="001975EF"/>
    <w:rPr>
      <w:color w:val="808080"/>
    </w:rPr>
  </w:style>
  <w:style w:type="paragraph" w:styleId="ListBullet">
    <w:name w:val="List Bullet"/>
    <w:basedOn w:val="Normal"/>
    <w:uiPriority w:val="99"/>
    <w:qFormat/>
    <w:rsid w:val="00544D24"/>
    <w:pPr>
      <w:numPr>
        <w:numId w:val="1"/>
      </w:numPr>
      <w:tabs>
        <w:tab w:val="clear" w:pos="360"/>
      </w:tabs>
      <w:ind w:left="284" w:hanging="284"/>
      <w:contextualSpacing/>
    </w:pPr>
  </w:style>
  <w:style w:type="paragraph" w:styleId="ListBullet2">
    <w:name w:val="List Bullet 2"/>
    <w:basedOn w:val="Normal"/>
    <w:uiPriority w:val="99"/>
    <w:qFormat/>
    <w:rsid w:val="002B4D02"/>
    <w:pPr>
      <w:numPr>
        <w:numId w:val="2"/>
      </w:numPr>
      <w:ind w:left="568" w:hanging="284"/>
      <w:contextualSpacing/>
    </w:pPr>
  </w:style>
  <w:style w:type="paragraph" w:styleId="ListNumber">
    <w:name w:val="List Number"/>
    <w:basedOn w:val="Normal"/>
    <w:uiPriority w:val="99"/>
    <w:qFormat/>
    <w:rsid w:val="00544D24"/>
    <w:pPr>
      <w:numPr>
        <w:numId w:val="3"/>
      </w:numPr>
      <w:tabs>
        <w:tab w:val="clear" w:pos="360"/>
      </w:tabs>
      <w:ind w:left="284" w:hanging="284"/>
      <w:contextualSpacing/>
    </w:pPr>
  </w:style>
  <w:style w:type="paragraph" w:styleId="ListNumber2">
    <w:name w:val="List Number 2"/>
    <w:basedOn w:val="Normal"/>
    <w:uiPriority w:val="99"/>
    <w:qFormat/>
    <w:rsid w:val="00D35C72"/>
    <w:pPr>
      <w:numPr>
        <w:numId w:val="4"/>
      </w:numPr>
      <w:ind w:left="568" w:hanging="284"/>
      <w:contextualSpacing/>
    </w:pPr>
  </w:style>
  <w:style w:type="character" w:customStyle="1" w:styleId="Heading3Char">
    <w:name w:val="Heading 3 Char"/>
    <w:link w:val="Heading3"/>
    <w:uiPriority w:val="9"/>
    <w:rsid w:val="00CC2A1A"/>
    <w:rPr>
      <w:rFonts w:ascii="Verdana" w:eastAsia="MingLiU" w:hAnsi="Verdana" w:cs="Times New Roman"/>
      <w:b/>
      <w:bCs/>
      <w:color w:val="75787B"/>
      <w:sz w:val="18"/>
      <w:lang w:val="en-US"/>
    </w:rPr>
  </w:style>
  <w:style w:type="character" w:customStyle="1" w:styleId="Heading4Char">
    <w:name w:val="Heading 4 Char"/>
    <w:link w:val="Heading4"/>
    <w:uiPriority w:val="9"/>
    <w:rsid w:val="00C67491"/>
    <w:rPr>
      <w:rFonts w:eastAsia="MingLiU"/>
      <w:b/>
      <w:bCs/>
      <w:iCs/>
      <w:color w:val="000000"/>
      <w:sz w:val="18"/>
      <w:szCs w:val="22"/>
      <w:lang w:val="en-US" w:eastAsia="en-US"/>
    </w:rPr>
  </w:style>
  <w:style w:type="paragraph" w:styleId="FootnoteText">
    <w:name w:val="footnote text"/>
    <w:basedOn w:val="Normal"/>
    <w:link w:val="FootnoteTextChar"/>
    <w:uiPriority w:val="99"/>
    <w:rsid w:val="00F3081C"/>
    <w:rPr>
      <w:sz w:val="16"/>
      <w:szCs w:val="20"/>
    </w:rPr>
  </w:style>
  <w:style w:type="character" w:customStyle="1" w:styleId="FootnoteTextChar">
    <w:name w:val="Footnote Text Char"/>
    <w:link w:val="FootnoteText"/>
    <w:uiPriority w:val="99"/>
    <w:rsid w:val="007550AB"/>
    <w:rPr>
      <w:sz w:val="16"/>
      <w:szCs w:val="20"/>
      <w:lang w:val="en-US"/>
    </w:rPr>
  </w:style>
  <w:style w:type="paragraph" w:customStyle="1" w:styleId="Documenttitle">
    <w:name w:val="Document title"/>
    <w:next w:val="Documentsubtitle"/>
    <w:qFormat/>
    <w:rsid w:val="00A7281A"/>
    <w:pPr>
      <w:spacing w:line="440" w:lineRule="atLeast"/>
    </w:pPr>
    <w:rPr>
      <w:rFonts w:eastAsia="MingLiU"/>
      <w:b/>
      <w:bCs/>
      <w:color w:val="000000"/>
      <w:sz w:val="36"/>
      <w:szCs w:val="28"/>
      <w:lang w:val="en-GB" w:eastAsia="en-US"/>
    </w:rPr>
  </w:style>
  <w:style w:type="paragraph" w:customStyle="1" w:styleId="Subheading">
    <w:name w:val="Subheading"/>
    <w:basedOn w:val="Normal"/>
    <w:next w:val="Normal"/>
    <w:semiHidden/>
    <w:qFormat/>
    <w:rsid w:val="00D236E8"/>
    <w:rPr>
      <w:rFonts w:eastAsia="MingLiU"/>
      <w:b/>
      <w:bCs/>
      <w:iCs/>
      <w:color w:val="000000"/>
    </w:rPr>
  </w:style>
  <w:style w:type="character" w:styleId="FootnoteReference">
    <w:name w:val="footnote reference"/>
    <w:uiPriority w:val="99"/>
    <w:semiHidden/>
    <w:rsid w:val="00412EA0"/>
    <w:rPr>
      <w:vertAlign w:val="superscript"/>
    </w:rPr>
  </w:style>
  <w:style w:type="paragraph" w:customStyle="1" w:styleId="Sectionintro">
    <w:name w:val="Section intro"/>
    <w:basedOn w:val="Normal"/>
    <w:next w:val="Normal"/>
    <w:qFormat/>
    <w:rsid w:val="00212852"/>
    <w:pPr>
      <w:spacing w:line="360" w:lineRule="atLeast"/>
    </w:pPr>
    <w:rPr>
      <w:sz w:val="28"/>
    </w:rPr>
  </w:style>
  <w:style w:type="paragraph" w:customStyle="1" w:styleId="Documentdate">
    <w:name w:val="Document date"/>
    <w:qFormat/>
    <w:rsid w:val="007550AB"/>
    <w:pPr>
      <w:spacing w:line="240" w:lineRule="atLeast"/>
    </w:pPr>
    <w:rPr>
      <w:sz w:val="18"/>
      <w:szCs w:val="22"/>
      <w:lang w:val="en-US" w:eastAsia="en-US"/>
    </w:rPr>
  </w:style>
  <w:style w:type="paragraph" w:customStyle="1" w:styleId="Sectiontitle">
    <w:name w:val="Section title"/>
    <w:basedOn w:val="Normal"/>
    <w:next w:val="Normal"/>
    <w:qFormat/>
    <w:rsid w:val="00EE61A2"/>
    <w:pPr>
      <w:spacing w:after="480" w:line="720" w:lineRule="atLeast"/>
    </w:pPr>
    <w:rPr>
      <w:sz w:val="60"/>
    </w:rPr>
  </w:style>
  <w:style w:type="paragraph" w:customStyle="1" w:styleId="PulloutBlue">
    <w:name w:val="Pullout Blue"/>
    <w:basedOn w:val="Normal"/>
    <w:next w:val="Normal"/>
    <w:qFormat/>
    <w:rsid w:val="00DD5A1B"/>
    <w:pPr>
      <w:spacing w:line="360" w:lineRule="atLeast"/>
    </w:pPr>
    <w:rPr>
      <w:color w:val="62B5E5"/>
      <w:sz w:val="28"/>
    </w:rPr>
  </w:style>
  <w:style w:type="paragraph" w:customStyle="1" w:styleId="Contacttext">
    <w:name w:val="Contact text"/>
    <w:basedOn w:val="Normal"/>
    <w:qFormat/>
    <w:rsid w:val="00D7732D"/>
  </w:style>
  <w:style w:type="paragraph" w:customStyle="1" w:styleId="Contactus">
    <w:name w:val="Contact us"/>
    <w:basedOn w:val="Contacttext"/>
    <w:next w:val="Contacttext"/>
    <w:qFormat/>
    <w:rsid w:val="00D7732D"/>
    <w:pPr>
      <w:spacing w:after="240" w:line="340" w:lineRule="atLeast"/>
    </w:pPr>
    <w:rPr>
      <w:sz w:val="28"/>
    </w:rPr>
  </w:style>
  <w:style w:type="paragraph" w:styleId="Caption">
    <w:name w:val="caption"/>
    <w:basedOn w:val="Normal"/>
    <w:next w:val="Normal"/>
    <w:uiPriority w:val="35"/>
    <w:qFormat/>
    <w:rsid w:val="00B46969"/>
    <w:pPr>
      <w:keepNext/>
    </w:pPr>
    <w:rPr>
      <w:iCs/>
      <w:color w:val="75787B"/>
      <w:sz w:val="17"/>
      <w:szCs w:val="18"/>
    </w:rPr>
  </w:style>
  <w:style w:type="character" w:styleId="Hyperlink">
    <w:name w:val="Hyperlink"/>
    <w:unhideWhenUsed/>
    <w:rsid w:val="00E94C20"/>
    <w:rPr>
      <w:color w:val="00A3E0"/>
      <w:u w:val="single"/>
    </w:rPr>
  </w:style>
  <w:style w:type="paragraph" w:customStyle="1" w:styleId="PulloutGreen">
    <w:name w:val="Pullout Green"/>
    <w:basedOn w:val="PulloutBlue"/>
    <w:next w:val="Normal"/>
    <w:qFormat/>
    <w:rsid w:val="00822995"/>
    <w:rPr>
      <w:color w:val="86BC25"/>
    </w:rPr>
  </w:style>
  <w:style w:type="paragraph" w:customStyle="1" w:styleId="QuotesourceBlue">
    <w:name w:val="Quote source Blue"/>
    <w:basedOn w:val="Normal"/>
    <w:next w:val="Normal"/>
    <w:qFormat/>
    <w:rsid w:val="004C5D1B"/>
    <w:pPr>
      <w:spacing w:line="200" w:lineRule="atLeast"/>
      <w:contextualSpacing/>
    </w:pPr>
    <w:rPr>
      <w:b/>
      <w:color w:val="62B5E5"/>
    </w:rPr>
  </w:style>
  <w:style w:type="paragraph" w:customStyle="1" w:styleId="QuotesourceGreen">
    <w:name w:val="Quote source Green"/>
    <w:basedOn w:val="QuotesourceBlue"/>
    <w:next w:val="Normal"/>
    <w:qFormat/>
    <w:rsid w:val="000516C4"/>
    <w:rPr>
      <w:color w:val="86BC25"/>
    </w:rPr>
  </w:style>
  <w:style w:type="paragraph" w:customStyle="1" w:styleId="Paneltext">
    <w:name w:val="Panel text"/>
    <w:basedOn w:val="Normal"/>
    <w:qFormat/>
    <w:rsid w:val="00AE0FC7"/>
    <w:rPr>
      <w:color w:val="FFFFFF"/>
      <w:sz w:val="17"/>
    </w:rPr>
  </w:style>
  <w:style w:type="paragraph" w:customStyle="1" w:styleId="Paneltitle">
    <w:name w:val="Panel title"/>
    <w:basedOn w:val="Paneltext"/>
    <w:next w:val="Paneltext"/>
    <w:qFormat/>
    <w:rsid w:val="00D0023B"/>
    <w:pPr>
      <w:spacing w:line="360" w:lineRule="atLeast"/>
    </w:pPr>
    <w:rPr>
      <w:b/>
      <w:sz w:val="28"/>
    </w:rPr>
  </w:style>
  <w:style w:type="paragraph" w:customStyle="1" w:styleId="Formoreinfocalloutwhite8512ptPullOutStyles">
    <w:name w:val="For more info call out (white 8.5/12pt) (Pull Out Styles)"/>
    <w:basedOn w:val="Normal"/>
    <w:uiPriority w:val="99"/>
    <w:rsid w:val="00AE0FC7"/>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qFormat/>
    <w:rsid w:val="006528C9"/>
    <w:pPr>
      <w:spacing w:after="120" w:line="440" w:lineRule="atLeast"/>
    </w:pPr>
    <w:rPr>
      <w:sz w:val="36"/>
    </w:rPr>
  </w:style>
  <w:style w:type="paragraph" w:customStyle="1" w:styleId="Contentstitle">
    <w:name w:val="Contents title"/>
    <w:basedOn w:val="Sectiontitle"/>
    <w:next w:val="Normal"/>
    <w:qFormat/>
    <w:rsid w:val="00244010"/>
  </w:style>
  <w:style w:type="paragraph" w:styleId="TOC1">
    <w:name w:val="toc 1"/>
    <w:basedOn w:val="Normal"/>
    <w:next w:val="Normal"/>
    <w:autoRedefine/>
    <w:uiPriority w:val="39"/>
    <w:rsid w:val="000B6C05"/>
    <w:pPr>
      <w:tabs>
        <w:tab w:val="right" w:pos="6935"/>
      </w:tabs>
      <w:spacing w:after="120" w:line="360" w:lineRule="atLeast"/>
    </w:pPr>
    <w:rPr>
      <w:sz w:val="28"/>
    </w:rPr>
  </w:style>
  <w:style w:type="paragraph" w:customStyle="1" w:styleId="Quotetext">
    <w:name w:val="Quote text"/>
    <w:basedOn w:val="PulloutBlue"/>
    <w:qFormat/>
    <w:rsid w:val="003E49BA"/>
    <w:pPr>
      <w:spacing w:line="720" w:lineRule="atLeast"/>
    </w:pPr>
    <w:rPr>
      <w:color w:val="FFFFFF"/>
      <w:sz w:val="60"/>
    </w:rPr>
  </w:style>
  <w:style w:type="paragraph" w:customStyle="1" w:styleId="Legaltext">
    <w:name w:val="Legal text"/>
    <w:basedOn w:val="Normal"/>
    <w:qFormat/>
    <w:rsid w:val="00BF6F8B"/>
    <w:pPr>
      <w:spacing w:line="180" w:lineRule="atLeast"/>
      <w:ind w:right="5387"/>
    </w:pPr>
    <w:rPr>
      <w:sz w:val="14"/>
    </w:rPr>
  </w:style>
  <w:style w:type="table" w:customStyle="1" w:styleId="Deloittetable">
    <w:name w:val="Deloitte table"/>
    <w:basedOn w:val="TableNormal"/>
    <w:uiPriority w:val="99"/>
    <w:rsid w:val="00335CF3"/>
    <w:rPr>
      <w:sz w:val="17"/>
    </w:rPr>
    <w:tblPr>
      <w:tblBorders>
        <w:top w:val="single" w:sz="4" w:space="0" w:color="62B5E5"/>
        <w:bottom w:val="single" w:sz="4" w:space="0" w:color="000000"/>
        <w:insideH w:val="single" w:sz="4" w:space="0" w:color="000000"/>
      </w:tblBorders>
      <w:tblCellMar>
        <w:top w:w="57" w:type="dxa"/>
        <w:left w:w="0" w:type="dxa"/>
        <w:bottom w:w="57" w:type="dxa"/>
        <w:right w:w="0" w:type="dxa"/>
      </w:tblCellMar>
    </w:tblPr>
    <w:tblStylePr w:type="firstRow">
      <w:rPr>
        <w:rFonts w:ascii="Verdana" w:hAnsi="Verdana"/>
        <w:b/>
        <w:color w:val="62B5E5"/>
        <w:sz w:val="17"/>
      </w:rPr>
      <w:tblPr/>
      <w:tcPr>
        <w:tcBorders>
          <w:top w:val="single" w:sz="24" w:space="0" w:color="62B5E5"/>
        </w:tcBorders>
      </w:tcPr>
    </w:tblStylePr>
  </w:style>
  <w:style w:type="paragraph" w:customStyle="1" w:styleId="Tabletext">
    <w:name w:val="Table text"/>
    <w:basedOn w:val="Normal"/>
    <w:qFormat/>
    <w:rsid w:val="004D1F57"/>
    <w:pPr>
      <w:spacing w:line="200" w:lineRule="atLeast"/>
    </w:pPr>
    <w:rPr>
      <w:sz w:val="17"/>
    </w:rPr>
  </w:style>
  <w:style w:type="paragraph" w:customStyle="1" w:styleId="Tabletitle">
    <w:name w:val="Table title"/>
    <w:basedOn w:val="Tabletext"/>
    <w:qFormat/>
    <w:rsid w:val="004D1F57"/>
    <w:rPr>
      <w:b/>
      <w:color w:val="62B5E5"/>
    </w:rPr>
  </w:style>
  <w:style w:type="paragraph" w:customStyle="1" w:styleId="SourcetextTableorChart">
    <w:name w:val="Source text Table or Chart"/>
    <w:basedOn w:val="Caption"/>
    <w:next w:val="Normal"/>
    <w:qFormat/>
    <w:rsid w:val="003B3379"/>
    <w:pPr>
      <w:spacing w:before="120"/>
    </w:pPr>
    <w:rPr>
      <w:sz w:val="14"/>
    </w:rPr>
  </w:style>
  <w:style w:type="paragraph" w:customStyle="1" w:styleId="Tablebullets">
    <w:name w:val="Table bullets"/>
    <w:basedOn w:val="Tabletext"/>
    <w:qFormat/>
    <w:rsid w:val="00AD6475"/>
    <w:pPr>
      <w:numPr>
        <w:numId w:val="19"/>
      </w:numPr>
      <w:ind w:left="284" w:hanging="284"/>
    </w:pPr>
  </w:style>
  <w:style w:type="paragraph" w:customStyle="1" w:styleId="Tablenumbered">
    <w:name w:val="Table numbered"/>
    <w:basedOn w:val="Tablebullets"/>
    <w:qFormat/>
    <w:rsid w:val="00AD6475"/>
    <w:pPr>
      <w:numPr>
        <w:numId w:val="20"/>
      </w:numPr>
      <w:ind w:left="284" w:hanging="284"/>
    </w:pPr>
  </w:style>
  <w:style w:type="paragraph" w:customStyle="1" w:styleId="Charttitle">
    <w:name w:val="Chart title"/>
    <w:basedOn w:val="Heading2"/>
    <w:qFormat/>
    <w:rsid w:val="00B66FC9"/>
  </w:style>
  <w:style w:type="paragraph" w:customStyle="1" w:styleId="Smlouvaheading1">
    <w:name w:val="Smlouva heading 1"/>
    <w:basedOn w:val="Normal"/>
    <w:link w:val="Smlouvaheading1Char"/>
    <w:qFormat/>
    <w:rsid w:val="00277DBB"/>
    <w:pPr>
      <w:numPr>
        <w:numId w:val="24"/>
      </w:numPr>
      <w:spacing w:before="240" w:after="120"/>
      <w:jc w:val="both"/>
    </w:pPr>
    <w:rPr>
      <w:b/>
    </w:rPr>
  </w:style>
  <w:style w:type="character" w:customStyle="1" w:styleId="Smlouvaheading1Char">
    <w:name w:val="Smlouva heading 1 Char"/>
    <w:link w:val="Smlouvaheading1"/>
    <w:rsid w:val="00277DBB"/>
    <w:rPr>
      <w:b/>
      <w:sz w:val="18"/>
      <w:szCs w:val="22"/>
      <w:lang w:val="en-US" w:eastAsia="en-US"/>
    </w:rPr>
  </w:style>
  <w:style w:type="paragraph" w:customStyle="1" w:styleId="Smlouvaheading2">
    <w:name w:val="Smlouva heading 2"/>
    <w:link w:val="Smlouvaheading2Char"/>
    <w:qFormat/>
    <w:rsid w:val="00277DBB"/>
    <w:pPr>
      <w:numPr>
        <w:ilvl w:val="1"/>
        <w:numId w:val="24"/>
      </w:numPr>
      <w:spacing w:before="120" w:after="120" w:line="240" w:lineRule="atLeast"/>
      <w:jc w:val="both"/>
    </w:pPr>
    <w:rPr>
      <w:sz w:val="18"/>
      <w:szCs w:val="22"/>
      <w:lang w:val="en-US" w:eastAsia="en-US"/>
    </w:rPr>
  </w:style>
  <w:style w:type="character" w:customStyle="1" w:styleId="Smlouvaheading2Char">
    <w:name w:val="Smlouva heading 2 Char"/>
    <w:link w:val="Smlouvaheading2"/>
    <w:rsid w:val="00277DBB"/>
    <w:rPr>
      <w:sz w:val="18"/>
      <w:szCs w:val="22"/>
      <w:lang w:val="en-US" w:eastAsia="en-US"/>
    </w:rPr>
  </w:style>
  <w:style w:type="paragraph" w:customStyle="1" w:styleId="Smlouvaheading3">
    <w:name w:val="Smlouva heading 3"/>
    <w:qFormat/>
    <w:rsid w:val="00C81837"/>
    <w:pPr>
      <w:numPr>
        <w:ilvl w:val="2"/>
        <w:numId w:val="24"/>
      </w:numPr>
      <w:spacing w:after="120" w:line="240" w:lineRule="atLeast"/>
      <w:ind w:left="1475" w:hanging="624"/>
      <w:jc w:val="both"/>
    </w:pPr>
    <w:rPr>
      <w:sz w:val="18"/>
      <w:szCs w:val="22"/>
      <w:lang w:val="en-US" w:eastAsia="en-US"/>
    </w:rPr>
  </w:style>
  <w:style w:type="paragraph" w:customStyle="1" w:styleId="Smlouvaheading4">
    <w:name w:val="Smlouva heading 4"/>
    <w:qFormat/>
    <w:rsid w:val="00AD1749"/>
    <w:pPr>
      <w:numPr>
        <w:ilvl w:val="3"/>
        <w:numId w:val="24"/>
      </w:numPr>
      <w:spacing w:after="120" w:line="240" w:lineRule="atLeast"/>
      <w:jc w:val="both"/>
    </w:pPr>
    <w:rPr>
      <w:sz w:val="18"/>
      <w:szCs w:val="22"/>
      <w:lang w:val="en-US" w:eastAsia="en-US"/>
    </w:rPr>
  </w:style>
  <w:style w:type="character" w:customStyle="1" w:styleId="Heading5Char">
    <w:name w:val="Heading 5 Char"/>
    <w:link w:val="Heading5"/>
    <w:uiPriority w:val="9"/>
    <w:rsid w:val="004C5D1B"/>
    <w:rPr>
      <w:rFonts w:ascii="Verdana" w:eastAsia="Times New Roman" w:hAnsi="Verdana" w:cs="Times New Roman"/>
      <w:sz w:val="18"/>
      <w:szCs w:val="22"/>
      <w:lang w:val="en-US" w:eastAsia="en-US"/>
    </w:rPr>
  </w:style>
  <w:style w:type="table" w:customStyle="1" w:styleId="Deloittetable2">
    <w:name w:val="Deloitte table 2"/>
    <w:basedOn w:val="TableNormal"/>
    <w:uiPriority w:val="99"/>
    <w:rsid w:val="004C5D1B"/>
    <w:rPr>
      <w:sz w:val="17"/>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table" w:customStyle="1" w:styleId="Deloittetable3">
    <w:name w:val="Deloitte table 3"/>
    <w:basedOn w:val="PlainTable4"/>
    <w:uiPriority w:val="99"/>
    <w:rsid w:val="00110604"/>
    <w:rPr>
      <w:sz w:val="17"/>
      <w:lang w:val="en-US" w:eastAsia="en-US"/>
    </w:rPr>
    <w:tblPr>
      <w:tblBorders>
        <w:bottom w:val="single" w:sz="4" w:space="0" w:color="E7E6E6"/>
      </w:tblBorders>
      <w:tblCellMar>
        <w:top w:w="57" w:type="dxa"/>
        <w:left w:w="0" w:type="dxa"/>
        <w:bottom w:w="57" w:type="dxa"/>
        <w:right w:w="0" w:type="dxa"/>
      </w:tblCellMar>
    </w:tblPr>
    <w:tcPr>
      <w:shd w:val="clear" w:color="auto" w:fill="auto"/>
    </w:tcPr>
    <w:tblStylePr w:type="firstRow">
      <w:rPr>
        <w:rFonts w:ascii="Verdana" w:hAnsi="Verdana"/>
        <w:b/>
        <w:bCs/>
        <w:color w:val="86BC25"/>
        <w:sz w:val="18"/>
      </w:rPr>
      <w:tblPr/>
      <w:tcPr>
        <w:tcBorders>
          <w:top w:val="single" w:sz="24" w:space="0" w:color="86BC25"/>
        </w:tcBorders>
        <w:shd w:val="clear" w:color="auto" w:fill="auto"/>
      </w:tcPr>
    </w:tblStylePr>
    <w:tblStylePr w:type="lastRow">
      <w:rPr>
        <w:b w:val="0"/>
        <w:bCs/>
      </w:rPr>
      <w:tblPr/>
      <w:tcPr>
        <w:tcBorders>
          <w:bottom w:val="single" w:sz="4" w:space="0" w:color="E7E6E6"/>
        </w:tcBorders>
        <w:shd w:val="clear" w:color="auto" w:fill="auto"/>
      </w:tcPr>
    </w:tblStylePr>
    <w:tblStylePr w:type="firstCol">
      <w:rPr>
        <w:b w:val="0"/>
        <w:bCs/>
      </w:rPr>
      <w:tblPr>
        <w:tblCellMar>
          <w:top w:w="57" w:type="dxa"/>
          <w:left w:w="0" w:type="dxa"/>
          <w:bottom w:w="57" w:type="dxa"/>
          <w:right w:w="0" w:type="dxa"/>
        </w:tblCellMar>
      </w:tblPr>
    </w:tblStylePr>
    <w:tblStylePr w:type="lastCol">
      <w:rPr>
        <w:b w:val="0"/>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656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extA">
    <w:name w:val="Text A"/>
    <w:rsid w:val="00AE1530"/>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Text">
    <w:name w:val="Text"/>
    <w:rsid w:val="00AE1530"/>
    <w:pPr>
      <w:pBdr>
        <w:top w:val="nil"/>
        <w:left w:val="nil"/>
        <w:bottom w:val="nil"/>
        <w:right w:val="nil"/>
        <w:between w:val="nil"/>
        <w:bar w:val="nil"/>
      </w:pBdr>
      <w:spacing w:line="240" w:lineRule="atLeast"/>
    </w:pPr>
    <w:rPr>
      <w:rFonts w:cs="Verdana"/>
      <w:color w:val="000000"/>
      <w:sz w:val="17"/>
      <w:szCs w:val="17"/>
      <w:u w:color="000000"/>
      <w:bdr w:val="nil"/>
    </w:rPr>
  </w:style>
  <w:style w:type="paragraph" w:customStyle="1" w:styleId="BodyText1">
    <w:name w:val="Body Text1"/>
    <w:qFormat/>
    <w:rsid w:val="00AE1530"/>
    <w:pPr>
      <w:spacing w:after="180" w:line="250" w:lineRule="atLeast"/>
    </w:pPr>
    <w:rPr>
      <w:rFonts w:ascii="Arial" w:eastAsiaTheme="minorHAnsi" w:hAnsi="Arial"/>
      <w:color w:val="000000"/>
      <w:sz w:val="18"/>
      <w:szCs w:val="48"/>
      <w:lang w:eastAsia="en-US"/>
    </w:rPr>
  </w:style>
  <w:style w:type="character" w:styleId="CommentReference">
    <w:name w:val="annotation reference"/>
    <w:basedOn w:val="DefaultParagraphFont"/>
    <w:uiPriority w:val="99"/>
    <w:semiHidden/>
    <w:rsid w:val="002D5F90"/>
    <w:rPr>
      <w:sz w:val="16"/>
      <w:szCs w:val="16"/>
    </w:rPr>
  </w:style>
  <w:style w:type="paragraph" w:styleId="CommentText">
    <w:name w:val="annotation text"/>
    <w:basedOn w:val="Normal"/>
    <w:link w:val="CommentTextChar"/>
    <w:uiPriority w:val="99"/>
    <w:semiHidden/>
    <w:rsid w:val="002D5F90"/>
    <w:rPr>
      <w:sz w:val="20"/>
      <w:szCs w:val="20"/>
    </w:rPr>
  </w:style>
  <w:style w:type="character" w:customStyle="1" w:styleId="CommentTextChar">
    <w:name w:val="Comment Text Char"/>
    <w:basedOn w:val="DefaultParagraphFont"/>
    <w:link w:val="CommentText"/>
    <w:uiPriority w:val="99"/>
    <w:semiHidden/>
    <w:rsid w:val="002D5F90"/>
    <w:rPr>
      <w:rFonts w:ascii="Times New Roman" w:eastAsia="Arial Unicode MS" w:hAnsi="Times New Roman"/>
      <w:bdr w:val="nil"/>
      <w:lang w:val="en-US" w:eastAsia="en-US"/>
    </w:rPr>
  </w:style>
  <w:style w:type="paragraph" w:styleId="CommentSubject">
    <w:name w:val="annotation subject"/>
    <w:basedOn w:val="CommentText"/>
    <w:next w:val="CommentText"/>
    <w:link w:val="CommentSubjectChar"/>
    <w:uiPriority w:val="99"/>
    <w:semiHidden/>
    <w:rsid w:val="002D5F90"/>
    <w:rPr>
      <w:b/>
      <w:bCs/>
    </w:rPr>
  </w:style>
  <w:style w:type="character" w:customStyle="1" w:styleId="CommentSubjectChar">
    <w:name w:val="Comment Subject Char"/>
    <w:basedOn w:val="CommentTextChar"/>
    <w:link w:val="CommentSubject"/>
    <w:uiPriority w:val="99"/>
    <w:semiHidden/>
    <w:rsid w:val="002D5F90"/>
    <w:rPr>
      <w:rFonts w:ascii="Times New Roman" w:eastAsia="Arial Unicode MS" w:hAnsi="Times New Roman"/>
      <w:b/>
      <w:bCs/>
      <w:bdr w:val="nil"/>
      <w:lang w:val="en-US" w:eastAsia="en-US"/>
    </w:rPr>
  </w:style>
  <w:style w:type="paragraph" w:styleId="NormalWeb">
    <w:name w:val="Normal (Web)"/>
    <w:basedOn w:val="Normal"/>
    <w:uiPriority w:val="99"/>
    <w:unhideWhenUsed/>
    <w:rsid w:val="00D01A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FollowedHyperlink">
    <w:name w:val="FollowedHyperlink"/>
    <w:basedOn w:val="DefaultParagraphFont"/>
    <w:uiPriority w:val="99"/>
    <w:semiHidden/>
    <w:rsid w:val="005B0547"/>
    <w:rPr>
      <w:color w:val="C9DD03" w:themeColor="followedHyperlink"/>
      <w:u w:val="single"/>
    </w:rPr>
  </w:style>
  <w:style w:type="paragraph" w:styleId="ListParagraph">
    <w:name w:val="List Paragraph"/>
    <w:basedOn w:val="Normal"/>
    <w:uiPriority w:val="34"/>
    <w:qFormat/>
    <w:rsid w:val="00FA3FFD"/>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lang w:val="cs-CZ"/>
    </w:rPr>
  </w:style>
  <w:style w:type="paragraph" w:styleId="NoSpacing">
    <w:name w:val="No Spacing"/>
    <w:uiPriority w:val="1"/>
    <w:qFormat/>
    <w:rsid w:val="00B43EEE"/>
    <w:rPr>
      <w:rFonts w:asciiTheme="minorHAnsi" w:eastAsiaTheme="minorHAnsi" w:hAnsiTheme="minorHAnsi" w:cstheme="minorBidi"/>
      <w:sz w:val="22"/>
      <w:szCs w:val="22"/>
      <w:lang w:val="en-US" w:eastAsia="en-US"/>
    </w:rPr>
  </w:style>
  <w:style w:type="paragraph" w:styleId="Revision">
    <w:name w:val="Revision"/>
    <w:hidden/>
    <w:uiPriority w:val="99"/>
    <w:semiHidden/>
    <w:rsid w:val="00557EB3"/>
    <w:rPr>
      <w:rFonts w:ascii="Times New Roman" w:eastAsia="Arial Unicode MS" w:hAnsi="Times New Roman"/>
      <w:sz w:val="24"/>
      <w:szCs w:val="24"/>
      <w:bdr w:val="nil"/>
      <w:lang w:val="en-US" w:eastAsia="en-US"/>
    </w:rPr>
  </w:style>
  <w:style w:type="character" w:customStyle="1" w:styleId="A2">
    <w:name w:val="A2"/>
    <w:basedOn w:val="DefaultParagraphFont"/>
    <w:uiPriority w:val="99"/>
    <w:rsid w:val="0079279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567">
      <w:bodyDiv w:val="1"/>
      <w:marLeft w:val="0"/>
      <w:marRight w:val="0"/>
      <w:marTop w:val="0"/>
      <w:marBottom w:val="0"/>
      <w:divBdr>
        <w:top w:val="none" w:sz="0" w:space="0" w:color="auto"/>
        <w:left w:val="none" w:sz="0" w:space="0" w:color="auto"/>
        <w:bottom w:val="none" w:sz="0" w:space="0" w:color="auto"/>
        <w:right w:val="none" w:sz="0" w:space="0" w:color="auto"/>
      </w:divBdr>
    </w:div>
    <w:div w:id="122621724">
      <w:bodyDiv w:val="1"/>
      <w:marLeft w:val="0"/>
      <w:marRight w:val="0"/>
      <w:marTop w:val="0"/>
      <w:marBottom w:val="0"/>
      <w:divBdr>
        <w:top w:val="none" w:sz="0" w:space="0" w:color="auto"/>
        <w:left w:val="none" w:sz="0" w:space="0" w:color="auto"/>
        <w:bottom w:val="none" w:sz="0" w:space="0" w:color="auto"/>
        <w:right w:val="none" w:sz="0" w:space="0" w:color="auto"/>
      </w:divBdr>
    </w:div>
    <w:div w:id="145052467">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74810573">
      <w:bodyDiv w:val="1"/>
      <w:marLeft w:val="0"/>
      <w:marRight w:val="0"/>
      <w:marTop w:val="0"/>
      <w:marBottom w:val="0"/>
      <w:divBdr>
        <w:top w:val="none" w:sz="0" w:space="0" w:color="auto"/>
        <w:left w:val="none" w:sz="0" w:space="0" w:color="auto"/>
        <w:bottom w:val="none" w:sz="0" w:space="0" w:color="auto"/>
        <w:right w:val="none" w:sz="0" w:space="0" w:color="auto"/>
      </w:divBdr>
    </w:div>
    <w:div w:id="278873878">
      <w:bodyDiv w:val="1"/>
      <w:marLeft w:val="0"/>
      <w:marRight w:val="0"/>
      <w:marTop w:val="0"/>
      <w:marBottom w:val="0"/>
      <w:divBdr>
        <w:top w:val="none" w:sz="0" w:space="0" w:color="auto"/>
        <w:left w:val="none" w:sz="0" w:space="0" w:color="auto"/>
        <w:bottom w:val="none" w:sz="0" w:space="0" w:color="auto"/>
        <w:right w:val="none" w:sz="0" w:space="0" w:color="auto"/>
      </w:divBdr>
    </w:div>
    <w:div w:id="332342681">
      <w:bodyDiv w:val="1"/>
      <w:marLeft w:val="0"/>
      <w:marRight w:val="0"/>
      <w:marTop w:val="0"/>
      <w:marBottom w:val="0"/>
      <w:divBdr>
        <w:top w:val="none" w:sz="0" w:space="0" w:color="auto"/>
        <w:left w:val="none" w:sz="0" w:space="0" w:color="auto"/>
        <w:bottom w:val="none" w:sz="0" w:space="0" w:color="auto"/>
        <w:right w:val="none" w:sz="0" w:space="0" w:color="auto"/>
      </w:divBdr>
    </w:div>
    <w:div w:id="596838376">
      <w:bodyDiv w:val="1"/>
      <w:marLeft w:val="0"/>
      <w:marRight w:val="0"/>
      <w:marTop w:val="0"/>
      <w:marBottom w:val="0"/>
      <w:divBdr>
        <w:top w:val="none" w:sz="0" w:space="0" w:color="auto"/>
        <w:left w:val="none" w:sz="0" w:space="0" w:color="auto"/>
        <w:bottom w:val="none" w:sz="0" w:space="0" w:color="auto"/>
        <w:right w:val="none" w:sz="0" w:space="0" w:color="auto"/>
      </w:divBdr>
    </w:div>
    <w:div w:id="652878251">
      <w:bodyDiv w:val="1"/>
      <w:marLeft w:val="0"/>
      <w:marRight w:val="0"/>
      <w:marTop w:val="0"/>
      <w:marBottom w:val="0"/>
      <w:divBdr>
        <w:top w:val="none" w:sz="0" w:space="0" w:color="auto"/>
        <w:left w:val="none" w:sz="0" w:space="0" w:color="auto"/>
        <w:bottom w:val="none" w:sz="0" w:space="0" w:color="auto"/>
        <w:right w:val="none" w:sz="0" w:space="0" w:color="auto"/>
      </w:divBdr>
    </w:div>
    <w:div w:id="774906692">
      <w:bodyDiv w:val="1"/>
      <w:marLeft w:val="0"/>
      <w:marRight w:val="0"/>
      <w:marTop w:val="0"/>
      <w:marBottom w:val="0"/>
      <w:divBdr>
        <w:top w:val="none" w:sz="0" w:space="0" w:color="auto"/>
        <w:left w:val="none" w:sz="0" w:space="0" w:color="auto"/>
        <w:bottom w:val="none" w:sz="0" w:space="0" w:color="auto"/>
        <w:right w:val="none" w:sz="0" w:space="0" w:color="auto"/>
      </w:divBdr>
    </w:div>
    <w:div w:id="838694725">
      <w:bodyDiv w:val="1"/>
      <w:marLeft w:val="0"/>
      <w:marRight w:val="0"/>
      <w:marTop w:val="0"/>
      <w:marBottom w:val="0"/>
      <w:divBdr>
        <w:top w:val="none" w:sz="0" w:space="0" w:color="auto"/>
        <w:left w:val="none" w:sz="0" w:space="0" w:color="auto"/>
        <w:bottom w:val="none" w:sz="0" w:space="0" w:color="auto"/>
        <w:right w:val="none" w:sz="0" w:space="0" w:color="auto"/>
      </w:divBdr>
    </w:div>
    <w:div w:id="959384115">
      <w:bodyDiv w:val="1"/>
      <w:marLeft w:val="0"/>
      <w:marRight w:val="0"/>
      <w:marTop w:val="0"/>
      <w:marBottom w:val="0"/>
      <w:divBdr>
        <w:top w:val="none" w:sz="0" w:space="0" w:color="auto"/>
        <w:left w:val="none" w:sz="0" w:space="0" w:color="auto"/>
        <w:bottom w:val="none" w:sz="0" w:space="0" w:color="auto"/>
        <w:right w:val="none" w:sz="0" w:space="0" w:color="auto"/>
      </w:divBdr>
    </w:div>
    <w:div w:id="971180025">
      <w:bodyDiv w:val="1"/>
      <w:marLeft w:val="0"/>
      <w:marRight w:val="0"/>
      <w:marTop w:val="0"/>
      <w:marBottom w:val="0"/>
      <w:divBdr>
        <w:top w:val="none" w:sz="0" w:space="0" w:color="auto"/>
        <w:left w:val="none" w:sz="0" w:space="0" w:color="auto"/>
        <w:bottom w:val="none" w:sz="0" w:space="0" w:color="auto"/>
        <w:right w:val="none" w:sz="0" w:space="0" w:color="auto"/>
      </w:divBdr>
    </w:div>
    <w:div w:id="1038551553">
      <w:bodyDiv w:val="1"/>
      <w:marLeft w:val="0"/>
      <w:marRight w:val="0"/>
      <w:marTop w:val="0"/>
      <w:marBottom w:val="0"/>
      <w:divBdr>
        <w:top w:val="none" w:sz="0" w:space="0" w:color="auto"/>
        <w:left w:val="none" w:sz="0" w:space="0" w:color="auto"/>
        <w:bottom w:val="none" w:sz="0" w:space="0" w:color="auto"/>
        <w:right w:val="none" w:sz="0" w:space="0" w:color="auto"/>
      </w:divBdr>
    </w:div>
    <w:div w:id="1075013158">
      <w:bodyDiv w:val="1"/>
      <w:marLeft w:val="0"/>
      <w:marRight w:val="0"/>
      <w:marTop w:val="0"/>
      <w:marBottom w:val="0"/>
      <w:divBdr>
        <w:top w:val="none" w:sz="0" w:space="0" w:color="auto"/>
        <w:left w:val="none" w:sz="0" w:space="0" w:color="auto"/>
        <w:bottom w:val="none" w:sz="0" w:space="0" w:color="auto"/>
        <w:right w:val="none" w:sz="0" w:space="0" w:color="auto"/>
      </w:divBdr>
    </w:div>
    <w:div w:id="1167283843">
      <w:bodyDiv w:val="1"/>
      <w:marLeft w:val="0"/>
      <w:marRight w:val="0"/>
      <w:marTop w:val="0"/>
      <w:marBottom w:val="0"/>
      <w:divBdr>
        <w:top w:val="none" w:sz="0" w:space="0" w:color="auto"/>
        <w:left w:val="none" w:sz="0" w:space="0" w:color="auto"/>
        <w:bottom w:val="none" w:sz="0" w:space="0" w:color="auto"/>
        <w:right w:val="none" w:sz="0" w:space="0" w:color="auto"/>
      </w:divBdr>
    </w:div>
    <w:div w:id="1241480823">
      <w:bodyDiv w:val="1"/>
      <w:marLeft w:val="0"/>
      <w:marRight w:val="0"/>
      <w:marTop w:val="0"/>
      <w:marBottom w:val="0"/>
      <w:divBdr>
        <w:top w:val="none" w:sz="0" w:space="0" w:color="auto"/>
        <w:left w:val="none" w:sz="0" w:space="0" w:color="auto"/>
        <w:bottom w:val="none" w:sz="0" w:space="0" w:color="auto"/>
        <w:right w:val="none" w:sz="0" w:space="0" w:color="auto"/>
      </w:divBdr>
    </w:div>
    <w:div w:id="1306351033">
      <w:bodyDiv w:val="1"/>
      <w:marLeft w:val="0"/>
      <w:marRight w:val="0"/>
      <w:marTop w:val="0"/>
      <w:marBottom w:val="0"/>
      <w:divBdr>
        <w:top w:val="none" w:sz="0" w:space="0" w:color="auto"/>
        <w:left w:val="none" w:sz="0" w:space="0" w:color="auto"/>
        <w:bottom w:val="none" w:sz="0" w:space="0" w:color="auto"/>
        <w:right w:val="none" w:sz="0" w:space="0" w:color="auto"/>
      </w:divBdr>
    </w:div>
    <w:div w:id="1350982526">
      <w:bodyDiv w:val="1"/>
      <w:marLeft w:val="0"/>
      <w:marRight w:val="0"/>
      <w:marTop w:val="0"/>
      <w:marBottom w:val="0"/>
      <w:divBdr>
        <w:top w:val="none" w:sz="0" w:space="0" w:color="auto"/>
        <w:left w:val="none" w:sz="0" w:space="0" w:color="auto"/>
        <w:bottom w:val="none" w:sz="0" w:space="0" w:color="auto"/>
        <w:right w:val="none" w:sz="0" w:space="0" w:color="auto"/>
      </w:divBdr>
    </w:div>
    <w:div w:id="1673219657">
      <w:bodyDiv w:val="1"/>
      <w:marLeft w:val="0"/>
      <w:marRight w:val="0"/>
      <w:marTop w:val="0"/>
      <w:marBottom w:val="0"/>
      <w:divBdr>
        <w:top w:val="none" w:sz="0" w:space="0" w:color="auto"/>
        <w:left w:val="none" w:sz="0" w:space="0" w:color="auto"/>
        <w:bottom w:val="none" w:sz="0" w:space="0" w:color="auto"/>
        <w:right w:val="none" w:sz="0" w:space="0" w:color="auto"/>
      </w:divBdr>
    </w:div>
    <w:div w:id="1678072054">
      <w:bodyDiv w:val="1"/>
      <w:marLeft w:val="0"/>
      <w:marRight w:val="0"/>
      <w:marTop w:val="0"/>
      <w:marBottom w:val="0"/>
      <w:divBdr>
        <w:top w:val="none" w:sz="0" w:space="0" w:color="auto"/>
        <w:left w:val="none" w:sz="0" w:space="0" w:color="auto"/>
        <w:bottom w:val="none" w:sz="0" w:space="0" w:color="auto"/>
        <w:right w:val="none" w:sz="0" w:space="0" w:color="auto"/>
      </w:divBdr>
    </w:div>
    <w:div w:id="1681929804">
      <w:bodyDiv w:val="1"/>
      <w:marLeft w:val="0"/>
      <w:marRight w:val="0"/>
      <w:marTop w:val="0"/>
      <w:marBottom w:val="0"/>
      <w:divBdr>
        <w:top w:val="none" w:sz="0" w:space="0" w:color="auto"/>
        <w:left w:val="none" w:sz="0" w:space="0" w:color="auto"/>
        <w:bottom w:val="none" w:sz="0" w:space="0" w:color="auto"/>
        <w:right w:val="none" w:sz="0" w:space="0" w:color="auto"/>
      </w:divBdr>
    </w:div>
    <w:div w:id="173015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uk\ukvfmroot\A%20&amp;%20A\Manchester\Sports%20Group\Admin\Publications\Press%20releases%20general\Football\Transfers%20(Jan%2011)\www.deloitte.co.uk\sportsbusinessgroup" TargetMode="External"/><Relationship Id="rId17" Type="http://schemas.openxmlformats.org/officeDocument/2006/relationships/hyperlink" Target="mailto:jmoravkova@deloittece.com" TargetMode="External"/><Relationship Id="rId2" Type="http://schemas.openxmlformats.org/officeDocument/2006/relationships/customXml" Target="../customXml/item2.xml"/><Relationship Id="rId16" Type="http://schemas.openxmlformats.org/officeDocument/2006/relationships/hyperlink" Target="mailto:mmalysa@deloittec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oitte.co.uk/df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Deloitte_US_Letter_Print Theme">
  <a:themeElements>
    <a:clrScheme name="Deloitte">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DABDC31058704E843134350A983B6C" ma:contentTypeVersion="9" ma:contentTypeDescription="Create a new document." ma:contentTypeScope="" ma:versionID="dfcb74fe326febaa058d0dad11c71580">
  <xsd:schema xmlns:xsd="http://www.w3.org/2001/XMLSchema" xmlns:xs="http://www.w3.org/2001/XMLSchema" xmlns:p="http://schemas.microsoft.com/office/2006/metadata/properties" xmlns:ns2="f8459adc-0832-4882-92f0-865ac5afa043" xmlns:ns3="b0322370-96c7-4712-b230-f50754a93d1e" targetNamespace="http://schemas.microsoft.com/office/2006/metadata/properties" ma:root="true" ma:fieldsID="c89997b7a1534d25b9292818ee418365" ns2:_="" ns3:_="">
    <xsd:import namespace="f8459adc-0832-4882-92f0-865ac5afa043"/>
    <xsd:import namespace="b0322370-96c7-4712-b230-f50754a93d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59adc-0832-4882-92f0-865ac5afa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22370-96c7-4712-b230-f50754a93d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AC89A-6150-4015-830F-819CB13742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1DD381-1270-4C33-9155-718F96E72F4E}">
  <ds:schemaRefs>
    <ds:schemaRef ds:uri="http://schemas.microsoft.com/sharepoint/v3/contenttype/forms"/>
  </ds:schemaRefs>
</ds:datastoreItem>
</file>

<file path=customXml/itemProps3.xml><?xml version="1.0" encoding="utf-8"?>
<ds:datastoreItem xmlns:ds="http://schemas.openxmlformats.org/officeDocument/2006/customXml" ds:itemID="{A80878D0-C047-450F-8CE8-3355398F9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59adc-0832-4882-92f0-865ac5afa043"/>
    <ds:schemaRef ds:uri="b0322370-96c7-4712-b230-f50754a93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D594A0-820F-43B3-A767-9F00C08F7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2827</Words>
  <Characters>16685</Characters>
  <Application>Microsoft Office Word</Application>
  <DocSecurity>0</DocSecurity>
  <Lines>139</Lines>
  <Paragraphs>38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Proposal_A4</vt:lpstr>
      <vt:lpstr>Proposal_A4</vt:lpstr>
    </vt:vector>
  </TitlesOfParts>
  <Company>Deloitte Touche Tohmatsu Services, Inc.</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Proposal_A4</dc:title>
  <dc:subject/>
  <dc:creator>Malysa, Michal (CZ - Prague)</dc:creator>
  <cp:keywords/>
  <dc:description/>
  <cp:lastModifiedBy>Malysa, Michal</cp:lastModifiedBy>
  <cp:revision>4</cp:revision>
  <cp:lastPrinted>2018-10-01T11:48:00Z</cp:lastPrinted>
  <dcterms:created xsi:type="dcterms:W3CDTF">2021-01-25T13:59:00Z</dcterms:created>
  <dcterms:modified xsi:type="dcterms:W3CDTF">2021-01-26T08:53:00Z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0x010100F6DABDC31058704E843134350A983B6C</vt:lpwstr>
  </property>
</Properties>
</file>