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8120" w14:textId="77777777" w:rsidR="00DC6A58" w:rsidRPr="008943D9" w:rsidRDefault="00DC6A58" w:rsidP="00BD5F0D">
      <w:pPr>
        <w:pStyle w:val="Nadpis1"/>
        <w:spacing w:before="0" w:line="320" w:lineRule="exact"/>
        <w:rPr>
          <w:rFonts w:ascii="Arial" w:hAnsi="Arial" w:cs="Arial"/>
          <w:color w:val="auto"/>
          <w:sz w:val="48"/>
          <w:szCs w:val="48"/>
        </w:rPr>
      </w:pPr>
    </w:p>
    <w:p w14:paraId="2F30F217" w14:textId="77777777" w:rsidR="00ED0AFC" w:rsidRDefault="00CC5530" w:rsidP="00CC5530">
      <w:pPr>
        <w:spacing w:after="0"/>
        <w:jc w:val="center"/>
        <w:rPr>
          <w:rFonts w:ascii="Arial" w:eastAsiaTheme="majorEastAsia" w:hAnsi="Arial" w:cs="Arial"/>
          <w:color w:val="7030A0"/>
          <w:sz w:val="48"/>
          <w:szCs w:val="48"/>
        </w:rPr>
      </w:pPr>
      <w:r w:rsidRPr="00CC5530">
        <w:rPr>
          <w:rFonts w:ascii="Arial" w:eastAsiaTheme="majorEastAsia" w:hAnsi="Arial" w:cs="Arial"/>
          <w:color w:val="7030A0"/>
          <w:sz w:val="48"/>
          <w:szCs w:val="48"/>
        </w:rPr>
        <w:t xml:space="preserve">Trendy na trhu práce 2026: </w:t>
      </w:r>
    </w:p>
    <w:p w14:paraId="591A734A" w14:textId="3C66F50C" w:rsidR="00DC6A58" w:rsidRPr="00ED0AFC" w:rsidRDefault="00CC5530" w:rsidP="00CC5530">
      <w:pPr>
        <w:spacing w:after="0"/>
        <w:jc w:val="center"/>
        <w:rPr>
          <w:rFonts w:ascii="Arial" w:eastAsiaTheme="majorEastAsia" w:hAnsi="Arial" w:cs="Arial"/>
          <w:color w:val="7030A0"/>
          <w:sz w:val="32"/>
          <w:szCs w:val="32"/>
        </w:rPr>
      </w:pPr>
      <w:r w:rsidRPr="00ED0AFC">
        <w:rPr>
          <w:rFonts w:ascii="Arial" w:eastAsiaTheme="majorEastAsia" w:hAnsi="Arial" w:cs="Arial"/>
          <w:color w:val="7030A0"/>
          <w:sz w:val="40"/>
          <w:szCs w:val="40"/>
        </w:rPr>
        <w:t xml:space="preserve">Firmy čeká éra </w:t>
      </w:r>
      <w:r w:rsidR="00A77141">
        <w:rPr>
          <w:rFonts w:ascii="Arial" w:eastAsiaTheme="majorEastAsia" w:hAnsi="Arial" w:cs="Arial"/>
          <w:color w:val="7030A0"/>
          <w:sz w:val="40"/>
          <w:szCs w:val="40"/>
        </w:rPr>
        <w:t>proměn</w:t>
      </w:r>
      <w:r w:rsidR="00F70409">
        <w:rPr>
          <w:rFonts w:ascii="Arial" w:eastAsiaTheme="majorEastAsia" w:hAnsi="Arial" w:cs="Arial"/>
          <w:color w:val="7030A0"/>
          <w:sz w:val="40"/>
          <w:szCs w:val="40"/>
        </w:rPr>
        <w:t>a</w:t>
      </w:r>
      <w:r w:rsidR="00A77141">
        <w:rPr>
          <w:rFonts w:ascii="Arial" w:eastAsiaTheme="majorEastAsia" w:hAnsi="Arial" w:cs="Arial"/>
          <w:color w:val="7030A0"/>
          <w:sz w:val="40"/>
          <w:szCs w:val="40"/>
        </w:rPr>
        <w:t xml:space="preserve"> pracovních rolí, </w:t>
      </w:r>
      <w:r w:rsidRPr="00ED0AFC">
        <w:rPr>
          <w:rFonts w:ascii="Arial" w:eastAsiaTheme="majorEastAsia" w:hAnsi="Arial" w:cs="Arial"/>
          <w:color w:val="7030A0"/>
          <w:sz w:val="40"/>
          <w:szCs w:val="40"/>
        </w:rPr>
        <w:t xml:space="preserve">hybridních týmů, </w:t>
      </w:r>
      <w:r w:rsidR="00A77141">
        <w:rPr>
          <w:rFonts w:ascii="Arial" w:eastAsiaTheme="majorEastAsia" w:hAnsi="Arial" w:cs="Arial"/>
          <w:color w:val="7030A0"/>
          <w:sz w:val="40"/>
          <w:szCs w:val="40"/>
        </w:rPr>
        <w:t>zvládnutí AI</w:t>
      </w:r>
      <w:r w:rsidRPr="00ED0AFC">
        <w:rPr>
          <w:rFonts w:ascii="Arial" w:eastAsiaTheme="majorEastAsia" w:hAnsi="Arial" w:cs="Arial"/>
          <w:color w:val="7030A0"/>
          <w:sz w:val="40"/>
          <w:szCs w:val="40"/>
        </w:rPr>
        <w:t xml:space="preserve"> i krize </w:t>
      </w:r>
      <w:r w:rsidR="00ED0AFC" w:rsidRPr="00ED0AFC">
        <w:rPr>
          <w:rFonts w:ascii="Arial" w:eastAsiaTheme="majorEastAsia" w:hAnsi="Arial" w:cs="Arial"/>
          <w:color w:val="7030A0"/>
          <w:sz w:val="40"/>
          <w:szCs w:val="40"/>
        </w:rPr>
        <w:t>leadershipu</w:t>
      </w:r>
      <w:r w:rsidRPr="00ED0AFC">
        <w:rPr>
          <w:rFonts w:ascii="Arial" w:eastAsiaTheme="majorEastAsia" w:hAnsi="Arial" w:cs="Arial"/>
          <w:color w:val="7030A0"/>
          <w:sz w:val="40"/>
          <w:szCs w:val="40"/>
        </w:rPr>
        <w:t xml:space="preserve"> </w:t>
      </w:r>
    </w:p>
    <w:p w14:paraId="28C98C2C" w14:textId="77777777" w:rsidR="008835FD" w:rsidRPr="008943D9" w:rsidRDefault="008835FD" w:rsidP="00AA17CA">
      <w:pPr>
        <w:spacing w:after="0" w:line="320" w:lineRule="exact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54133829" w14:textId="39C3A6F1" w:rsidR="00D962B1" w:rsidRDefault="00023F5B" w:rsidP="006346C0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8943D9">
        <w:rPr>
          <w:rFonts w:ascii="Arial" w:eastAsia="Calibri" w:hAnsi="Arial" w:cs="Arial"/>
          <w:b/>
          <w:bCs/>
          <w:color w:val="000000" w:themeColor="text1"/>
        </w:rPr>
        <w:t>Praha, 1</w:t>
      </w:r>
      <w:r w:rsidR="002D3C90">
        <w:rPr>
          <w:rFonts w:ascii="Arial" w:eastAsia="Calibri" w:hAnsi="Arial" w:cs="Arial"/>
          <w:b/>
          <w:bCs/>
          <w:color w:val="000000" w:themeColor="text1"/>
        </w:rPr>
        <w:t>0</w:t>
      </w:r>
      <w:r w:rsidRPr="008943D9">
        <w:rPr>
          <w:rFonts w:ascii="Arial" w:eastAsia="Calibri" w:hAnsi="Arial" w:cs="Arial"/>
          <w:b/>
          <w:bCs/>
          <w:color w:val="000000" w:themeColor="text1"/>
        </w:rPr>
        <w:t>. března 202</w:t>
      </w:r>
      <w:r w:rsidR="002D3C90">
        <w:rPr>
          <w:rFonts w:ascii="Arial" w:eastAsia="Calibri" w:hAnsi="Arial" w:cs="Arial"/>
          <w:b/>
          <w:bCs/>
          <w:color w:val="000000" w:themeColor="text1"/>
        </w:rPr>
        <w:t>6</w:t>
      </w:r>
      <w:r w:rsidRPr="008943D9">
        <w:rPr>
          <w:rFonts w:ascii="Arial" w:eastAsia="Calibri" w:hAnsi="Arial" w:cs="Arial"/>
          <w:b/>
          <w:bCs/>
          <w:color w:val="000000" w:themeColor="text1"/>
        </w:rPr>
        <w:t xml:space="preserve"> – </w:t>
      </w:r>
      <w:r w:rsidR="009F12D3" w:rsidRPr="009F12D3">
        <w:rPr>
          <w:rFonts w:ascii="Arial" w:eastAsia="Calibri" w:hAnsi="Arial" w:cs="Arial"/>
          <w:b/>
          <w:bCs/>
          <w:color w:val="000000" w:themeColor="text1"/>
        </w:rPr>
        <w:t>Nedostatek kvalifikovaných pracovníků zůstává jednou z největších výzev současného trhu práce v České republice má podle průzkumu Talent Shortage Survey společnosti ManpowerGroup potíže s obsazováním pozic 61 % zaměstnavatelů a globálně více než sedm z deseti firem. Nejčastěji chybí odborníci ve výrobě, inženýrských oborech, IT či obchodě, ale také lidé s klíčovými měkkými dovednostmi, jako je kritické myšlení, adaptabilita a schopnost spolupráce. Firmy proto mění strategie náboru, více investují do rekvalifikací a přehodnocují organizaci práce</w:t>
      </w:r>
      <w:r w:rsidR="009F12D3">
        <w:rPr>
          <w:rFonts w:ascii="Arial" w:eastAsia="Calibri" w:hAnsi="Arial" w:cs="Arial"/>
          <w:b/>
          <w:bCs/>
          <w:color w:val="000000" w:themeColor="text1"/>
        </w:rPr>
        <w:t>.</w:t>
      </w:r>
      <w:r w:rsidR="009F12D3" w:rsidRPr="009F12D3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3430B9">
        <w:rPr>
          <w:rFonts w:ascii="Arial" w:eastAsia="Calibri" w:hAnsi="Arial" w:cs="Arial"/>
          <w:b/>
          <w:bCs/>
          <w:color w:val="000000" w:themeColor="text1"/>
        </w:rPr>
        <w:t>T</w:t>
      </w:r>
      <w:r w:rsidR="009F12D3" w:rsidRPr="009F12D3">
        <w:rPr>
          <w:rFonts w:ascii="Arial" w:eastAsia="Calibri" w:hAnsi="Arial" w:cs="Arial"/>
          <w:b/>
          <w:bCs/>
          <w:color w:val="000000" w:themeColor="text1"/>
        </w:rPr>
        <w:t>yto změny stojí za hlavními trendy, které budou formovat trh práce v roce 2026.</w:t>
      </w:r>
    </w:p>
    <w:p w14:paraId="001FCF09" w14:textId="77777777" w:rsidR="007E14F5" w:rsidRDefault="007E14F5" w:rsidP="006346C0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0F007D09" w14:textId="0F5B069C" w:rsidR="008A49D3" w:rsidRPr="008A49D3" w:rsidRDefault="008A49D3" w:rsidP="007E14F5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8A49D3">
        <w:rPr>
          <w:rFonts w:ascii="Arial" w:eastAsia="Calibri" w:hAnsi="Arial" w:cs="Arial"/>
          <w:i/>
          <w:iCs/>
          <w:color w:val="000000" w:themeColor="text1"/>
        </w:rPr>
        <w:t>„Svět práce prochází největší transformací za poslední dekády. Nestačí jen reagovat na jednotlivé změny. Firmy musí přehodnotit samotný koncept pracovních rolí, způsob vedení lidí i to, jak propojují lidský potenciál s technologiemi. O úspěchu rozhodne schopnost adaptability, odvaha investovat do rozvoje dovedností a dlouhodobá práce s talenty,“</w:t>
      </w:r>
      <w:r w:rsidRPr="008A49D3">
        <w:rPr>
          <w:rFonts w:ascii="Arial" w:eastAsia="Calibri" w:hAnsi="Arial" w:cs="Arial"/>
          <w:color w:val="000000" w:themeColor="text1"/>
        </w:rPr>
        <w:t xml:space="preserve"> říká </w:t>
      </w:r>
      <w:r w:rsidRPr="008A49D3">
        <w:rPr>
          <w:rFonts w:ascii="Arial" w:eastAsia="Calibri" w:hAnsi="Arial" w:cs="Arial"/>
          <w:b/>
          <w:bCs/>
          <w:color w:val="000000" w:themeColor="text1"/>
        </w:rPr>
        <w:t>Jaroslava Rezlerová, generální ředitelka ManpowerGroup Česká republika.</w:t>
      </w:r>
    </w:p>
    <w:p w14:paraId="6F09CBC7" w14:textId="77777777" w:rsidR="008A49D3" w:rsidRDefault="008A49D3" w:rsidP="007E14F5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72F62CBF" w14:textId="20C98BED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t>Hybridní supertýmy a přetváření pracovních rolí</w:t>
      </w:r>
    </w:p>
    <w:p w14:paraId="4D885A03" w14:textId="0A269773" w:rsidR="00105FD8" w:rsidRPr="00105FD8" w:rsidRDefault="007E14F5" w:rsidP="00105FD8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Jedním z nejzásadnějších trendů je vznik tzv. hybridních supertýmů</w:t>
      </w:r>
      <w:r w:rsidR="00F811BC">
        <w:rPr>
          <w:rFonts w:ascii="Arial" w:eastAsia="Calibri" w:hAnsi="Arial" w:cs="Arial"/>
          <w:color w:val="000000" w:themeColor="text1"/>
        </w:rPr>
        <w:t>. T</w:t>
      </w:r>
      <w:r w:rsidRPr="007E14F5">
        <w:rPr>
          <w:rFonts w:ascii="Arial" w:eastAsia="Calibri" w:hAnsi="Arial" w:cs="Arial"/>
          <w:color w:val="000000" w:themeColor="text1"/>
        </w:rPr>
        <w:t>edy propojení lidských pracovníků, technologií a externích talentů do flexibilních celků, které nahrazují tradiční hierarchické struktury. Pracovní role se budou dynamicky přetvářet podle toho, kde má člověk největší přidanou hodnotu a kde je efektivnější zapojit umělou inteligenci. Firmy budou muset detailně analyzovat jednotlivé pracovní činnosti, rozdělit je mezi lidi a technologie a cíleně přepracovat organizační struktury.</w:t>
      </w:r>
      <w:r w:rsidR="00FA04AD">
        <w:rPr>
          <w:rFonts w:ascii="Arial" w:eastAsia="Calibri" w:hAnsi="Arial" w:cs="Arial"/>
          <w:color w:val="000000" w:themeColor="text1"/>
        </w:rPr>
        <w:t xml:space="preserve"> </w:t>
      </w:r>
      <w:r w:rsidR="00FA04AD" w:rsidRPr="00B826DA">
        <w:rPr>
          <w:rFonts w:ascii="Arial" w:eastAsia="Calibri" w:hAnsi="Arial" w:cs="Arial"/>
          <w:i/>
          <w:iCs/>
          <w:color w:val="000000" w:themeColor="text1"/>
        </w:rPr>
        <w:t>„</w:t>
      </w:r>
      <w:r w:rsidR="001F5B1C" w:rsidRPr="00B826DA">
        <w:rPr>
          <w:rFonts w:ascii="Arial" w:eastAsia="Calibri" w:hAnsi="Arial" w:cs="Arial"/>
          <w:i/>
          <w:iCs/>
          <w:color w:val="000000" w:themeColor="text1"/>
        </w:rPr>
        <w:t>Důrazně varujeme před „slepou automatizací“</w:t>
      </w:r>
      <w:r w:rsidR="001B6AD8" w:rsidRPr="00B826DA">
        <w:rPr>
          <w:rFonts w:ascii="Arial" w:eastAsia="Calibri" w:hAnsi="Arial" w:cs="Arial"/>
          <w:i/>
          <w:iCs/>
          <w:color w:val="000000" w:themeColor="text1"/>
        </w:rPr>
        <w:t xml:space="preserve">, kdy </w:t>
      </w:r>
      <w:r w:rsidR="00105FD8" w:rsidRPr="00B826DA">
        <w:rPr>
          <w:rFonts w:ascii="Arial" w:eastAsia="Calibri" w:hAnsi="Arial" w:cs="Arial"/>
          <w:i/>
          <w:iCs/>
          <w:color w:val="000000" w:themeColor="text1"/>
        </w:rPr>
        <w:t xml:space="preserve">primárním cílem je nahradit celého </w:t>
      </w:r>
      <w:r w:rsidR="00B826DA" w:rsidRPr="00B826DA">
        <w:rPr>
          <w:rFonts w:ascii="Arial" w:eastAsia="Calibri" w:hAnsi="Arial" w:cs="Arial"/>
          <w:i/>
          <w:iCs/>
          <w:color w:val="000000" w:themeColor="text1"/>
        </w:rPr>
        <w:t>člověka,</w:t>
      </w:r>
      <w:r w:rsidR="00105FD8" w:rsidRPr="00B826DA">
        <w:rPr>
          <w:rFonts w:ascii="Arial" w:eastAsia="Calibri" w:hAnsi="Arial" w:cs="Arial"/>
          <w:i/>
          <w:iCs/>
          <w:color w:val="000000" w:themeColor="text1"/>
        </w:rPr>
        <w:t xml:space="preserve"> a ne vybrané úkony. Vidíme, že firmy automatizují rychle a ve velkém měřítku. </w:t>
      </w:r>
      <w:r w:rsidR="00105FD8" w:rsidRPr="00105FD8">
        <w:rPr>
          <w:rFonts w:ascii="Arial" w:eastAsia="Calibri" w:hAnsi="Arial" w:cs="Arial"/>
          <w:i/>
          <w:iCs/>
          <w:color w:val="000000" w:themeColor="text1"/>
        </w:rPr>
        <w:t>V krátkodobém horizontu se to může zdát efektivní. Z dlouhodobého hlediska to však často vede ke ztrátě know</w:t>
      </w:r>
      <w:r w:rsidR="00105FD8" w:rsidRPr="00B826DA">
        <w:rPr>
          <w:rFonts w:ascii="Arial" w:eastAsia="Calibri" w:hAnsi="Arial" w:cs="Arial"/>
          <w:i/>
          <w:iCs/>
          <w:color w:val="000000" w:themeColor="text1"/>
        </w:rPr>
        <w:t>-</w:t>
      </w:r>
      <w:r w:rsidR="00105FD8" w:rsidRPr="00105FD8">
        <w:rPr>
          <w:rFonts w:ascii="Arial" w:eastAsia="Calibri" w:hAnsi="Arial" w:cs="Arial"/>
          <w:i/>
          <w:iCs/>
          <w:color w:val="000000" w:themeColor="text1"/>
        </w:rPr>
        <w:t>how a ke zhoršení zákaznické zkušenosti.</w:t>
      </w:r>
      <w:r w:rsidR="00105FD8" w:rsidRPr="00B826DA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="00105FD8" w:rsidRPr="00105FD8">
        <w:rPr>
          <w:rFonts w:ascii="Arial" w:eastAsia="Calibri" w:hAnsi="Arial" w:cs="Arial"/>
          <w:i/>
          <w:iCs/>
          <w:color w:val="000000" w:themeColor="text1"/>
        </w:rPr>
        <w:t>Automatizace bez redesignu práce je pouze digitální snižování nákladů.</w:t>
      </w:r>
      <w:r w:rsidR="00105FD8" w:rsidRPr="00B826DA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="00105FD8" w:rsidRPr="00105FD8">
        <w:rPr>
          <w:rFonts w:ascii="Arial" w:eastAsia="Calibri" w:hAnsi="Arial" w:cs="Arial"/>
          <w:i/>
          <w:iCs/>
          <w:color w:val="000000" w:themeColor="text1"/>
        </w:rPr>
        <w:t>Strategická automatizace spočívá ve zvyšování hodnoty lidské práce, nikoli v jejím odstraňování</w:t>
      </w:r>
      <w:r w:rsidR="00B826DA" w:rsidRPr="00B826DA">
        <w:rPr>
          <w:rFonts w:ascii="Arial" w:eastAsia="Calibri" w:hAnsi="Arial" w:cs="Arial"/>
          <w:i/>
          <w:iCs/>
          <w:color w:val="000000" w:themeColor="text1"/>
        </w:rPr>
        <w:t>,“</w:t>
      </w:r>
      <w:r w:rsidR="00B826DA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="00B826DA">
        <w:rPr>
          <w:rFonts w:ascii="Arial" w:eastAsia="Calibri" w:hAnsi="Arial" w:cs="Arial"/>
          <w:color w:val="000000" w:themeColor="text1"/>
        </w:rPr>
        <w:t>říká Jaroslava Rezlerová.</w:t>
      </w:r>
    </w:p>
    <w:p w14:paraId="676AC030" w14:textId="77777777" w:rsidR="00392C5B" w:rsidRDefault="00392C5B" w:rsidP="007E14F5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522DE2CC" w14:textId="5C709E03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t>Růst gig ekonomiky a flexibilních modelů práce</w:t>
      </w:r>
    </w:p>
    <w:p w14:paraId="45628726" w14:textId="206F876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 xml:space="preserve">Významným trendem je růst gig ekonomiky </w:t>
      </w:r>
      <w:r w:rsidR="002F3479">
        <w:rPr>
          <w:rFonts w:ascii="Arial" w:eastAsia="Calibri" w:hAnsi="Arial" w:cs="Arial"/>
          <w:color w:val="000000" w:themeColor="text1"/>
        </w:rPr>
        <w:t>(platformové práce)</w:t>
      </w:r>
      <w:r w:rsidRPr="007E14F5">
        <w:rPr>
          <w:rFonts w:ascii="Arial" w:eastAsia="Calibri" w:hAnsi="Arial" w:cs="Arial"/>
          <w:color w:val="000000" w:themeColor="text1"/>
        </w:rPr>
        <w:t xml:space="preserve"> a projektového zapojování talentů. Organizace stále častěji kombinují zaměstnance na plný úvazek s externisty, specialisty na krátkodobé projekty </w:t>
      </w:r>
      <w:r w:rsidR="002F3479">
        <w:rPr>
          <w:rFonts w:ascii="Arial" w:eastAsia="Calibri" w:hAnsi="Arial" w:cs="Arial"/>
          <w:color w:val="000000" w:themeColor="text1"/>
        </w:rPr>
        <w:t>a</w:t>
      </w:r>
      <w:r w:rsidRPr="007E14F5">
        <w:rPr>
          <w:rFonts w:ascii="Arial" w:eastAsia="Calibri" w:hAnsi="Arial" w:cs="Arial"/>
          <w:color w:val="000000" w:themeColor="text1"/>
        </w:rPr>
        <w:t xml:space="preserve"> AI agenty. Tento model přináší vyšší flexibilitu, ale zároveň klade větší nároky na řízení výkonu, soudržnost týmů a dlouhodobou udržitelnost kariér </w:t>
      </w:r>
      <w:r w:rsidR="00F46201">
        <w:rPr>
          <w:rFonts w:ascii="Arial" w:eastAsia="Calibri" w:hAnsi="Arial" w:cs="Arial"/>
          <w:color w:val="000000" w:themeColor="text1"/>
        </w:rPr>
        <w:t>zaměstnanců</w:t>
      </w:r>
      <w:r w:rsidRPr="007E14F5">
        <w:rPr>
          <w:rFonts w:ascii="Arial" w:eastAsia="Calibri" w:hAnsi="Arial" w:cs="Arial"/>
          <w:color w:val="000000" w:themeColor="text1"/>
        </w:rPr>
        <w:t>.</w:t>
      </w:r>
    </w:p>
    <w:p w14:paraId="6FE78AE1" w14:textId="74AD9F2C" w:rsid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 xml:space="preserve">Flexibilita se zároveň stává klíčovým faktorem při získávání a udržení talentů. Organizace, které dokážou pružně kombinovat různé formy spolupráce, získávají výhodu na stále </w:t>
      </w:r>
      <w:r w:rsidR="00F46201">
        <w:rPr>
          <w:rFonts w:ascii="Arial" w:eastAsia="Calibri" w:hAnsi="Arial" w:cs="Arial"/>
          <w:color w:val="000000" w:themeColor="text1"/>
        </w:rPr>
        <w:t>komplexnějším</w:t>
      </w:r>
      <w:r w:rsidRPr="007E14F5">
        <w:rPr>
          <w:rFonts w:ascii="Arial" w:eastAsia="Calibri" w:hAnsi="Arial" w:cs="Arial"/>
          <w:color w:val="000000" w:themeColor="text1"/>
        </w:rPr>
        <w:t xml:space="preserve"> trhu práce.</w:t>
      </w:r>
    </w:p>
    <w:p w14:paraId="4FF0AB68" w14:textId="77777777" w:rsidR="004519D9" w:rsidRDefault="004519D9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2F5F664" w14:textId="77777777" w:rsidR="00392C5B" w:rsidRPr="007E14F5" w:rsidRDefault="00392C5B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20C7BDEB" w14:textId="102A20D3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lastRenderedPageBreak/>
        <w:t xml:space="preserve">Rychlé </w:t>
      </w:r>
      <w:r w:rsidR="007B3952">
        <w:rPr>
          <w:rFonts w:ascii="Arial" w:eastAsia="Calibri" w:hAnsi="Arial" w:cs="Arial"/>
          <w:b/>
          <w:bCs/>
          <w:color w:val="7030A0"/>
        </w:rPr>
        <w:t>rekvali</w:t>
      </w:r>
      <w:r w:rsidR="007B2B56">
        <w:rPr>
          <w:rFonts w:ascii="Arial" w:eastAsia="Calibri" w:hAnsi="Arial" w:cs="Arial"/>
          <w:b/>
          <w:bCs/>
          <w:color w:val="7030A0"/>
        </w:rPr>
        <w:t>fikace</w:t>
      </w:r>
      <w:r w:rsidRPr="007E14F5">
        <w:rPr>
          <w:rFonts w:ascii="Arial" w:eastAsia="Calibri" w:hAnsi="Arial" w:cs="Arial"/>
          <w:b/>
          <w:bCs/>
          <w:color w:val="7030A0"/>
        </w:rPr>
        <w:t xml:space="preserve"> jako nová norma</w:t>
      </w:r>
    </w:p>
    <w:p w14:paraId="29CDB4AB" w14:textId="2492C02E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 xml:space="preserve">Budoucnost práce bude patřit těm, kteří se dokážou rychle učit. Rychlé </w:t>
      </w:r>
      <w:r w:rsidR="00AE2FCB">
        <w:rPr>
          <w:rFonts w:ascii="Arial" w:eastAsia="Calibri" w:hAnsi="Arial" w:cs="Arial"/>
          <w:color w:val="000000" w:themeColor="text1"/>
        </w:rPr>
        <w:t>formy</w:t>
      </w:r>
      <w:r w:rsidRPr="007E14F5">
        <w:rPr>
          <w:rFonts w:ascii="Arial" w:eastAsia="Calibri" w:hAnsi="Arial" w:cs="Arial"/>
          <w:color w:val="000000" w:themeColor="text1"/>
        </w:rPr>
        <w:t xml:space="preserve"> </w:t>
      </w:r>
      <w:r w:rsidR="00AE2FCB">
        <w:rPr>
          <w:rFonts w:ascii="Arial" w:eastAsia="Calibri" w:hAnsi="Arial" w:cs="Arial"/>
          <w:color w:val="000000" w:themeColor="text1"/>
        </w:rPr>
        <w:t>rekvalifikace</w:t>
      </w:r>
      <w:r w:rsidRPr="007E14F5">
        <w:rPr>
          <w:rFonts w:ascii="Arial" w:eastAsia="Calibri" w:hAnsi="Arial" w:cs="Arial"/>
          <w:color w:val="000000" w:themeColor="text1"/>
        </w:rPr>
        <w:t xml:space="preserve"> a průběžné zvyšování kvalifikace se stávají základní podmínkou zaměstnatelnosti. Přesto významná část pracovníků v</w:t>
      </w:r>
      <w:r w:rsidR="00965750">
        <w:rPr>
          <w:rFonts w:ascii="Arial" w:eastAsia="Calibri" w:hAnsi="Arial" w:cs="Arial"/>
          <w:color w:val="000000" w:themeColor="text1"/>
        </w:rPr>
        <w:t> </w:t>
      </w:r>
      <w:r w:rsidRPr="007E14F5">
        <w:rPr>
          <w:rFonts w:ascii="Arial" w:eastAsia="Calibri" w:hAnsi="Arial" w:cs="Arial"/>
          <w:color w:val="000000" w:themeColor="text1"/>
        </w:rPr>
        <w:t>posledních měsících neabsolvovala žádné odborné školení, což vytváří rostoucí riziko pro jejich budoucí uplatnění.</w:t>
      </w:r>
    </w:p>
    <w:p w14:paraId="5398C4DC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Vedle technologických znalostí nabývají na významu i měkké dovednosti, jako je kritické myšlení, kreativita, schopnost řešit problémy, empatie a spolupráce. Organizace proto rozšiřují nabídku interních i externích vzdělávacích programů, podporují mikrocertifikace a hledají nové formy rozvoje, které zaměstnancům umožní pružně reagovat na měnící se požadavky trhu.</w:t>
      </w:r>
    </w:p>
    <w:p w14:paraId="26C5035D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i/>
          <w:iCs/>
          <w:color w:val="000000" w:themeColor="text1"/>
        </w:rPr>
      </w:pPr>
      <w:r w:rsidRPr="007E14F5">
        <w:rPr>
          <w:rFonts w:ascii="Arial" w:eastAsia="Calibri" w:hAnsi="Arial" w:cs="Arial"/>
          <w:i/>
          <w:iCs/>
          <w:color w:val="000000" w:themeColor="text1"/>
        </w:rPr>
        <w:t>„Firmy musí přestat vnímat vzdělávání jako benefit a začít ho chápat jako klíčovou investici do své budoucnosti. Schopnost rychle se učit bude nejcennější měnou na trhu práce,“ říká Jaroslava Rezlerová, generální ředitelka ManpowerGroup Česká republika.</w:t>
      </w:r>
    </w:p>
    <w:p w14:paraId="1A2FD177" w14:textId="77777777" w:rsidR="00965750" w:rsidRDefault="00965750" w:rsidP="007E14F5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6F1EDFA6" w14:textId="5601B2A9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t>Tlak na produktivitu a riziko vyhoření</w:t>
      </w:r>
    </w:p>
    <w:p w14:paraId="0E76CD7B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S technologickým pokrokem roste i tlak na výkon. Stále více pracovníků se potýká s vyhořením a nízká angažovanost má výrazný dopad na produktivitu firem i celých ekonomik. Zaměstnanci čelí nereálným očekáváním ohledně okamžitého přínosu umělé inteligence, což může krátkodobě vést k poklesu efektivity a frustraci.</w:t>
      </w:r>
    </w:p>
    <w:p w14:paraId="7EB5A9FE" w14:textId="77777777" w:rsid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Firmy budou muset přehodnotit systémy hodnocení výkonu tak, aby odpovídaly novým pracovním realitám, reflektovaly měnící se náplň práce a zohledňovaly skutečný přínos lidí v hybridním prostředí. Současně poroste význam well-beingu, podpory duševního zdraví a realistického nastavování cílů.</w:t>
      </w:r>
    </w:p>
    <w:p w14:paraId="491BC089" w14:textId="77777777" w:rsidR="00314C37" w:rsidRPr="007E14F5" w:rsidRDefault="00314C37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1A476BF6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t>Měnící se normy, návrat do kanceláří a důvěra</w:t>
      </w:r>
    </w:p>
    <w:p w14:paraId="41058B6B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Řada nadnárodních organizací zavádí povinný návrat do kanceláří, přestože flexibilní modely práce se ukázaly jako efektivní a atraktivní pro zaměstnance. Organizace, které omezují flexibilitu bez jasného zdůvodnění, riskují odchod nejvýkonnějších pracovníků.</w:t>
      </w:r>
    </w:p>
    <w:p w14:paraId="0CC2538D" w14:textId="77777777" w:rsid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Současně klesá důvěra zaměstnanců v instituce i vedení firem. V prostředí informačního přetlaku a geopolitické nejistoty budou firmy nuceny posílit transparentní komunikaci, důslednou práci s daty a otevřený dialog se zaměstnanci.</w:t>
      </w:r>
    </w:p>
    <w:p w14:paraId="0EB58987" w14:textId="77777777" w:rsidR="00314C37" w:rsidRPr="007E14F5" w:rsidRDefault="00314C37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160C0D3C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t>Energetické nároky digitální transformace</w:t>
      </w:r>
    </w:p>
    <w:p w14:paraId="6764756F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S rozvojem umělé inteligence dramaticky roste spotřeba energie datových center. Digitální transformace tak přináší nejen technologické, ale i energetické a environmentální výzvy. Firmy budou muset zohlednit náklady na energii, investovat do udržitelných řešení a budovat kapacity v oblasti zelených technologií.</w:t>
      </w:r>
    </w:p>
    <w:p w14:paraId="13FA1DD6" w14:textId="1B736E30" w:rsid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Rostoucí tlak na energetické zdroje zároveň vytváří nové příležitosti na trhu práce</w:t>
      </w:r>
      <w:r w:rsidR="002B625C">
        <w:rPr>
          <w:rFonts w:ascii="Arial" w:eastAsia="Calibri" w:hAnsi="Arial" w:cs="Arial"/>
          <w:color w:val="000000" w:themeColor="text1"/>
        </w:rPr>
        <w:t>, z</w:t>
      </w:r>
      <w:r w:rsidRPr="007E14F5">
        <w:rPr>
          <w:rFonts w:ascii="Arial" w:eastAsia="Calibri" w:hAnsi="Arial" w:cs="Arial"/>
          <w:color w:val="000000" w:themeColor="text1"/>
        </w:rPr>
        <w:t>ejména v oblasti energetiky, infrastruktury a udržitelnosti.</w:t>
      </w:r>
    </w:p>
    <w:p w14:paraId="282092C3" w14:textId="77777777" w:rsidR="006B03B0" w:rsidRPr="007E14F5" w:rsidRDefault="006B03B0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3E2424E" w14:textId="77777777" w:rsidR="00F70409" w:rsidRDefault="00F70409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FA823B0" w14:textId="77777777" w:rsidR="00F70409" w:rsidRDefault="00F70409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057E4B2D" w14:textId="77777777" w:rsidR="00F70409" w:rsidRPr="007E14F5" w:rsidRDefault="00F70409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7D574D8A" w14:textId="77777777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b/>
          <w:bCs/>
          <w:color w:val="7030A0"/>
        </w:rPr>
      </w:pPr>
      <w:r w:rsidRPr="007E14F5">
        <w:rPr>
          <w:rFonts w:ascii="Arial" w:eastAsia="Calibri" w:hAnsi="Arial" w:cs="Arial"/>
          <w:b/>
          <w:bCs/>
          <w:color w:val="7030A0"/>
        </w:rPr>
        <w:t>Krize nástupnictví a slábnoucí leadership</w:t>
      </w:r>
    </w:p>
    <w:p w14:paraId="153AE7C1" w14:textId="77777777" w:rsidR="00AB0A08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t>Demografický vývoj přináší zásadní výzvu v podobě stárnutí pracovní síly. Rostoucí podíl pracovníků ve vyšším věku zvyšuje riziko ztráty know-how a zkušeností, pokud organizace systematicky nepracují s předáváním znalostí.</w:t>
      </w:r>
      <w:r w:rsidR="00C62D9B">
        <w:rPr>
          <w:rFonts w:ascii="Arial" w:eastAsia="Calibri" w:hAnsi="Arial" w:cs="Arial"/>
          <w:color w:val="000000" w:themeColor="text1"/>
        </w:rPr>
        <w:t xml:space="preserve"> </w:t>
      </w:r>
    </w:p>
    <w:p w14:paraId="1946AD2F" w14:textId="36DB46E1" w:rsidR="007E14F5" w:rsidRPr="007E14F5" w:rsidRDefault="00ED437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AI sice může pomáhat juniorským pracovníkům </w:t>
      </w:r>
      <w:r w:rsidR="00A96DD9">
        <w:rPr>
          <w:rFonts w:ascii="Arial" w:eastAsia="Calibri" w:hAnsi="Arial" w:cs="Arial"/>
          <w:color w:val="000000" w:themeColor="text1"/>
        </w:rPr>
        <w:t>zvýšit přidanou hodnotu své práce, t</w:t>
      </w:r>
      <w:r w:rsidR="000A7BF3">
        <w:rPr>
          <w:rFonts w:ascii="Arial" w:eastAsia="Calibri" w:hAnsi="Arial" w:cs="Arial"/>
          <w:color w:val="000000" w:themeColor="text1"/>
        </w:rPr>
        <w:t xml:space="preserve">rendem </w:t>
      </w:r>
      <w:r w:rsidR="00A96DD9">
        <w:rPr>
          <w:rFonts w:ascii="Arial" w:eastAsia="Calibri" w:hAnsi="Arial" w:cs="Arial"/>
          <w:color w:val="000000" w:themeColor="text1"/>
        </w:rPr>
        <w:t>se ale stává opak</w:t>
      </w:r>
      <w:r w:rsidR="00FC32D2">
        <w:rPr>
          <w:rFonts w:ascii="Arial" w:eastAsia="Calibri" w:hAnsi="Arial" w:cs="Arial"/>
          <w:color w:val="000000" w:themeColor="text1"/>
        </w:rPr>
        <w:t>, kdy AI asistující seniorním expertům nahrazuje juniory</w:t>
      </w:r>
      <w:r w:rsidR="00772C84">
        <w:rPr>
          <w:rFonts w:ascii="Arial" w:eastAsia="Calibri" w:hAnsi="Arial" w:cs="Arial"/>
          <w:color w:val="000000" w:themeColor="text1"/>
        </w:rPr>
        <w:t>. Otázkou je</w:t>
      </w:r>
      <w:r w:rsidR="00AB0A08">
        <w:rPr>
          <w:rFonts w:ascii="Arial" w:eastAsia="Calibri" w:hAnsi="Arial" w:cs="Arial"/>
          <w:color w:val="000000" w:themeColor="text1"/>
        </w:rPr>
        <w:t>, kdo vychová budoucí seniory.</w:t>
      </w:r>
    </w:p>
    <w:p w14:paraId="3CB0AA41" w14:textId="556C6D7D" w:rsidR="00F05514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E14F5">
        <w:rPr>
          <w:rFonts w:ascii="Arial" w:eastAsia="Calibri" w:hAnsi="Arial" w:cs="Arial"/>
          <w:color w:val="000000" w:themeColor="text1"/>
        </w:rPr>
        <w:lastRenderedPageBreak/>
        <w:t>Současně se ukazuje, že mladší generace mají nižší ambici usilovat o vedoucí pozice, což signalizuje potenciální krizi nástupnictví a slábnoucí leadership. Firmy budou muset investovat do rozvoje budoucích lídrů, mentoringu a podpory manažerských kompetencí.</w:t>
      </w:r>
    </w:p>
    <w:p w14:paraId="193688AE" w14:textId="77777777" w:rsidR="00906DBF" w:rsidRDefault="00906DBF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7E721BDE" w14:textId="1200BA0F" w:rsidR="00906DBF" w:rsidRPr="007E14F5" w:rsidRDefault="00906DBF" w:rsidP="00906DBF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906DBF">
        <w:rPr>
          <w:rFonts w:ascii="Arial" w:eastAsia="Calibri" w:hAnsi="Arial" w:cs="Arial"/>
          <w:i/>
          <w:iCs/>
          <w:color w:val="000000" w:themeColor="text1"/>
        </w:rPr>
        <w:t>„</w:t>
      </w:r>
      <w:r w:rsidR="007E14F5" w:rsidRPr="00906DBF">
        <w:rPr>
          <w:rFonts w:ascii="Arial" w:eastAsia="Calibri" w:hAnsi="Arial" w:cs="Arial"/>
          <w:i/>
          <w:color w:val="000000" w:themeColor="text1"/>
        </w:rPr>
        <w:t>Rok 2026 tak potvrzuje, že budoucnost práce nebude o volbě mezi člověkem a technologií. Bude o jejich schopnosti spolupracovat v prostředí rychlých změn, demografického tlaku i proměny hodnot zaměstnanců. Firmy, které dokážou propojit hybridní týmy, systematicky rozvíjet dovednosti, budovat důvěru a posilovat leadership napříč generacemi, získají dlouhodobou konkurenční výhodu</w:t>
      </w:r>
      <w:r w:rsidRPr="00906DBF">
        <w:rPr>
          <w:rFonts w:ascii="Arial" w:eastAsia="Calibri" w:hAnsi="Arial" w:cs="Arial"/>
          <w:i/>
          <w:iCs/>
          <w:color w:val="000000" w:themeColor="text1"/>
        </w:rPr>
        <w:t>,“</w:t>
      </w:r>
      <w:r w:rsidRPr="00906DBF">
        <w:rPr>
          <w:rFonts w:ascii="Arial" w:eastAsia="Calibri" w:hAnsi="Arial" w:cs="Arial"/>
          <w:color w:val="000000" w:themeColor="text1"/>
        </w:rPr>
        <w:t xml:space="preserve"> </w:t>
      </w:r>
      <w:r w:rsidRPr="007E14F5">
        <w:rPr>
          <w:rFonts w:ascii="Arial" w:eastAsia="Calibri" w:hAnsi="Arial" w:cs="Arial"/>
          <w:color w:val="000000" w:themeColor="text1"/>
        </w:rPr>
        <w:t xml:space="preserve">upozorňuje </w:t>
      </w:r>
      <w:r w:rsidRPr="00AB0A08">
        <w:rPr>
          <w:rFonts w:ascii="Arial" w:eastAsia="Calibri" w:hAnsi="Arial" w:cs="Arial"/>
          <w:color w:val="000000" w:themeColor="text1"/>
        </w:rPr>
        <w:t>Rezlerová.</w:t>
      </w:r>
    </w:p>
    <w:p w14:paraId="6AB289FC" w14:textId="7AA40490" w:rsidR="007E14F5" w:rsidRPr="007E14F5" w:rsidRDefault="007E14F5" w:rsidP="007E14F5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0B1D50F6" w14:textId="77777777" w:rsidR="007E14F5" w:rsidRDefault="007E14F5" w:rsidP="006346C0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1D19D691" w14:textId="58A7AFF2" w:rsidR="00A14C5E" w:rsidRPr="00C62CE0" w:rsidRDefault="00A14C5E" w:rsidP="00A14C5E">
      <w:pPr>
        <w:pStyle w:val="Nadpis2"/>
        <w:spacing w:before="120"/>
        <w:jc w:val="both"/>
        <w:rPr>
          <w:rFonts w:ascii="Arial" w:hAnsi="Arial" w:cs="Arial"/>
          <w:b/>
          <w:bCs/>
          <w:color w:val="7030A0"/>
          <w:sz w:val="22"/>
          <w:szCs w:val="22"/>
        </w:rPr>
      </w:pPr>
      <w:r w:rsidRPr="00C62CE0">
        <w:rPr>
          <w:rFonts w:ascii="Arial" w:hAnsi="Arial" w:cs="Arial"/>
          <w:b/>
          <w:bCs/>
          <w:color w:val="7030A0"/>
          <w:sz w:val="22"/>
          <w:szCs w:val="22"/>
        </w:rPr>
        <w:t>ManpowerGroup v České republice</w:t>
      </w:r>
    </w:p>
    <w:p w14:paraId="03493107" w14:textId="6773B1CE" w:rsidR="00A14C5E" w:rsidRPr="00A14C5E" w:rsidRDefault="00A14C5E" w:rsidP="00A14C5E">
      <w:pPr>
        <w:jc w:val="both"/>
        <w:rPr>
          <w:rFonts w:ascii="Arial" w:hAnsi="Arial" w:cs="Arial"/>
        </w:rPr>
      </w:pPr>
      <w:r w:rsidRPr="00A14C5E">
        <w:rPr>
          <w:rFonts w:ascii="Arial" w:hAnsi="Arial" w:cs="Arial"/>
        </w:rPr>
        <w:t>ManpowerGroup působí v České republice více než 30 let a patří mezi lídry v oblasti personálních a HR řešení. Pomáhá firmám reagovat na proměny trhu práce a lidem nacházet smysluplné a udržitelné zaměstnání. Společnost se zaměřuje na nábor a rozvoj talentů, flexibilní formy práce a podporu rovnosti příležitostí. ManpowerGroup Česká republika má 21 poboček a ročně pro své klienty obsadí přes 2000 specializovaných pozic a dělá mzdovou agendu pro více než 5 500 agenturních zaměstnanců.</w:t>
      </w:r>
    </w:p>
    <w:p w14:paraId="2F2BEF46" w14:textId="5DF30F5A" w:rsidR="00E61D2D" w:rsidRPr="00F80763" w:rsidRDefault="00E61D2D" w:rsidP="00AA17CA">
      <w:pPr>
        <w:spacing w:after="0" w:line="320" w:lineRule="exact"/>
        <w:jc w:val="both"/>
        <w:rPr>
          <w:rFonts w:ascii="Arial" w:eastAsia="Calibri" w:hAnsi="Arial" w:cs="Arial"/>
          <w:color w:val="FF0000"/>
        </w:rPr>
      </w:pPr>
    </w:p>
    <w:sectPr w:rsidR="00E61D2D" w:rsidRPr="00F80763" w:rsidSect="00DC6A58">
      <w:headerReference w:type="default" r:id="rId10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519B" w14:textId="77777777" w:rsidR="00305F53" w:rsidRPr="008943D9" w:rsidRDefault="00305F53" w:rsidP="004D5BF1">
      <w:pPr>
        <w:spacing w:after="0" w:line="240" w:lineRule="auto"/>
      </w:pPr>
      <w:r w:rsidRPr="008943D9">
        <w:separator/>
      </w:r>
    </w:p>
  </w:endnote>
  <w:endnote w:type="continuationSeparator" w:id="0">
    <w:p w14:paraId="23B64CE1" w14:textId="77777777" w:rsidR="00305F53" w:rsidRPr="008943D9" w:rsidRDefault="00305F53" w:rsidP="004D5BF1">
      <w:pPr>
        <w:spacing w:after="0" w:line="240" w:lineRule="auto"/>
      </w:pPr>
      <w:r w:rsidRPr="008943D9">
        <w:continuationSeparator/>
      </w:r>
    </w:p>
  </w:endnote>
  <w:endnote w:type="continuationNotice" w:id="1">
    <w:p w14:paraId="33CF521E" w14:textId="77777777" w:rsidR="00305F53" w:rsidRPr="008943D9" w:rsidRDefault="00305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5C65" w14:textId="77777777" w:rsidR="00305F53" w:rsidRPr="008943D9" w:rsidRDefault="00305F53" w:rsidP="004D5BF1">
      <w:pPr>
        <w:spacing w:after="0" w:line="240" w:lineRule="auto"/>
      </w:pPr>
      <w:r w:rsidRPr="008943D9">
        <w:separator/>
      </w:r>
    </w:p>
  </w:footnote>
  <w:footnote w:type="continuationSeparator" w:id="0">
    <w:p w14:paraId="1228BF04" w14:textId="77777777" w:rsidR="00305F53" w:rsidRPr="008943D9" w:rsidRDefault="00305F53" w:rsidP="004D5BF1">
      <w:pPr>
        <w:spacing w:after="0" w:line="240" w:lineRule="auto"/>
      </w:pPr>
      <w:r w:rsidRPr="008943D9">
        <w:continuationSeparator/>
      </w:r>
    </w:p>
  </w:footnote>
  <w:footnote w:type="continuationNotice" w:id="1">
    <w:p w14:paraId="44338242" w14:textId="77777777" w:rsidR="00305F53" w:rsidRPr="008943D9" w:rsidRDefault="00305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9A37" w14:textId="5746E4EB" w:rsidR="004D5BF1" w:rsidRPr="008943D9" w:rsidRDefault="008A0AF3">
    <w:pPr>
      <w:pStyle w:val="Zhlav"/>
    </w:pPr>
    <w:r w:rsidRPr="008943D9">
      <w:rPr>
        <w:rFonts w:ascii="Arial" w:eastAsia="Arial" w:hAnsi="Arial" w:cs="Times New Roman"/>
        <w:noProof/>
        <w:color w:val="282A32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DE42246" wp14:editId="18905368">
              <wp:simplePos x="0" y="0"/>
              <wp:positionH relativeFrom="margin">
                <wp:align>left</wp:align>
              </wp:positionH>
              <wp:positionV relativeFrom="paragraph">
                <wp:posOffset>-124476</wp:posOffset>
              </wp:positionV>
              <wp:extent cx="3746500" cy="800735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800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DB713" w14:textId="77777777" w:rsidR="004D5BF1" w:rsidRPr="008943D9" w:rsidRDefault="004D5BF1" w:rsidP="00DC6A58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8943D9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14:paraId="4A954737" w14:textId="56990220" w:rsidR="004D5BF1" w:rsidRPr="008943D9" w:rsidRDefault="00DC6A58" w:rsidP="00DC6A58">
                          <w:pPr>
                            <w:spacing w:after="120" w:line="240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8943D9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 w:rsidR="009526AD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Lidský faktor </w:t>
                          </w:r>
                          <w:r w:rsidRPr="008943D9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| </w:t>
                          </w:r>
                          <w:r w:rsidR="008A0AF3" w:rsidRPr="008943D9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Trendy na trhu práce 202</w:t>
                          </w:r>
                          <w:r w:rsidR="009526AD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5BD9F7B9" w14:textId="6A5D5C26" w:rsidR="004D5BF1" w:rsidRPr="008943D9" w:rsidRDefault="004D5BF1" w:rsidP="00DC6A58">
                          <w:pPr>
                            <w:tabs>
                              <w:tab w:val="left" w:pos="4860"/>
                              <w:tab w:val="left" w:pos="5760"/>
                            </w:tabs>
                            <w:spacing w:after="0" w:line="240" w:lineRule="auto"/>
                            <w:ind w:right="720"/>
                            <w:rPr>
                              <w:rFonts w:ascii="Arial" w:hAnsi="Arial" w:cs="Arial"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8943D9">
                            <w:rPr>
                              <w:rFonts w:ascii="Arial" w:hAnsi="Arial" w:cs="Arial"/>
                              <w:bCs/>
                              <w:color w:val="FFFFFF"/>
                              <w:sz w:val="16"/>
                              <w:szCs w:val="16"/>
                            </w:rPr>
                            <w:t>POD EMBARGEM DO 00:01 GMT 1</w:t>
                          </w:r>
                          <w:r w:rsidR="009526AD">
                            <w:rPr>
                              <w:rFonts w:ascii="Arial" w:hAnsi="Arial" w:cs="Arial"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0. </w:t>
                          </w:r>
                          <w:r w:rsidRPr="008943D9">
                            <w:rPr>
                              <w:rFonts w:ascii="Arial" w:hAnsi="Arial" w:cs="Arial"/>
                              <w:bCs/>
                              <w:color w:val="FFFFFF"/>
                              <w:sz w:val="16"/>
                              <w:szCs w:val="16"/>
                            </w:rPr>
                            <w:t>BŘEZNA 202</w:t>
                          </w:r>
                          <w:r w:rsidR="009526AD">
                            <w:rPr>
                              <w:rFonts w:ascii="Arial" w:hAnsi="Arial" w:cs="Arial"/>
                              <w:bCs/>
                              <w:color w:val="FFFFFF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54015FE1" w14:textId="77777777" w:rsidR="004D5BF1" w:rsidRPr="008943D9" w:rsidRDefault="004D5BF1" w:rsidP="00DC6A58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E4224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0;margin-top:-9.8pt;width:295pt;height:63.0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" filled="f" stroked="f">
              <v:textbox>
                <w:txbxContent>
                  <w:p w14:paraId="50EDB713" w14:textId="77777777" w:rsidR="004D5BF1" w:rsidRPr="008943D9" w:rsidRDefault="004D5BF1" w:rsidP="00DC6A58">
                    <w:pPr>
                      <w:spacing w:after="0" w:line="240" w:lineRule="auto"/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</w:pPr>
                    <w:r w:rsidRPr="008943D9"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  <w:t>Tisková zpráva</w:t>
                    </w:r>
                  </w:p>
                  <w:p w14:paraId="4A954737" w14:textId="56990220" w:rsidR="004D5BF1" w:rsidRPr="008943D9" w:rsidRDefault="00DC6A58" w:rsidP="00DC6A58">
                    <w:pPr>
                      <w:spacing w:after="120" w:line="240" w:lineRule="auto"/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</w:pPr>
                    <w:r w:rsidRPr="008943D9"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  <w:t xml:space="preserve"> </w:t>
                    </w:r>
                    <w:r w:rsidR="009526AD"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  <w:t xml:space="preserve">Lidský faktor </w:t>
                    </w:r>
                    <w:r w:rsidRPr="008943D9"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  <w:t xml:space="preserve">| </w:t>
                    </w:r>
                    <w:r w:rsidR="008A0AF3" w:rsidRPr="008943D9"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  <w:t>Trendy na trhu práce 202</w:t>
                    </w:r>
                    <w:r w:rsidR="009526AD"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  <w:t>6</w:t>
                    </w:r>
                  </w:p>
                  <w:p w14:paraId="5BD9F7B9" w14:textId="6A5D5C26" w:rsidR="004D5BF1" w:rsidRPr="008943D9" w:rsidRDefault="004D5BF1" w:rsidP="00DC6A58">
                    <w:pPr>
                      <w:tabs>
                        <w:tab w:val="left" w:pos="4860"/>
                        <w:tab w:val="left" w:pos="5760"/>
                      </w:tabs>
                      <w:spacing w:after="0" w:line="240" w:lineRule="auto"/>
                      <w:ind w:right="720"/>
                      <w:rPr>
                        <w:rFonts w:ascii="Arial" w:hAnsi="Arial" w:cs="Arial"/>
                        <w:bCs/>
                        <w:color w:val="FFFFFF"/>
                        <w:sz w:val="16"/>
                        <w:szCs w:val="16"/>
                      </w:rPr>
                    </w:pPr>
                    <w:r w:rsidRPr="008943D9">
                      <w:rPr>
                        <w:rFonts w:ascii="Arial" w:hAnsi="Arial" w:cs="Arial"/>
                        <w:bCs/>
                        <w:color w:val="FFFFFF"/>
                        <w:sz w:val="16"/>
                        <w:szCs w:val="16"/>
                      </w:rPr>
                      <w:t>POD EMBARGEM DO 00:01 GMT 1</w:t>
                    </w:r>
                    <w:r w:rsidR="009526AD">
                      <w:rPr>
                        <w:rFonts w:ascii="Arial" w:hAnsi="Arial" w:cs="Arial"/>
                        <w:bCs/>
                        <w:color w:val="FFFFFF"/>
                        <w:sz w:val="16"/>
                        <w:szCs w:val="16"/>
                      </w:rPr>
                      <w:t xml:space="preserve">0. </w:t>
                    </w:r>
                    <w:r w:rsidRPr="008943D9">
                      <w:rPr>
                        <w:rFonts w:ascii="Arial" w:hAnsi="Arial" w:cs="Arial"/>
                        <w:bCs/>
                        <w:color w:val="FFFFFF"/>
                        <w:sz w:val="16"/>
                        <w:szCs w:val="16"/>
                      </w:rPr>
                      <w:t>BŘEZNA 202</w:t>
                    </w:r>
                    <w:r w:rsidR="009526AD">
                      <w:rPr>
                        <w:rFonts w:ascii="Arial" w:hAnsi="Arial" w:cs="Arial"/>
                        <w:bCs/>
                        <w:color w:val="FFFFFF"/>
                        <w:sz w:val="16"/>
                        <w:szCs w:val="16"/>
                      </w:rPr>
                      <w:t>6</w:t>
                    </w:r>
                  </w:p>
                  <w:p w14:paraId="54015FE1" w14:textId="77777777" w:rsidR="004D5BF1" w:rsidRPr="008943D9" w:rsidRDefault="004D5BF1" w:rsidP="00DC6A58">
                    <w:pPr>
                      <w:spacing w:after="0" w:line="240" w:lineRule="auto"/>
                      <w:rPr>
                        <w:rFonts w:ascii="Arial" w:hAnsi="Arial" w:cs="Arial"/>
                        <w:color w:val="FFFFFF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E17A9" w:rsidRPr="008943D9">
      <w:rPr>
        <w:noProof/>
      </w:rPr>
      <w:drawing>
        <wp:anchor distT="0" distB="0" distL="114300" distR="114300" simplePos="0" relativeHeight="251658240" behindDoc="1" locked="0" layoutInCell="1" allowOverlap="1" wp14:anchorId="361D3071" wp14:editId="73BF4CEF">
          <wp:simplePos x="0" y="0"/>
          <wp:positionH relativeFrom="page">
            <wp:align>left</wp:align>
          </wp:positionH>
          <wp:positionV relativeFrom="paragraph">
            <wp:posOffset>-469900</wp:posOffset>
          </wp:positionV>
          <wp:extent cx="7994650" cy="1421765"/>
          <wp:effectExtent l="0" t="0" r="6350" b="6985"/>
          <wp:wrapTight wrapText="bothSides">
            <wp:wrapPolygon edited="0">
              <wp:start x="0" y="0"/>
              <wp:lineTo x="0" y="21417"/>
              <wp:lineTo x="21566" y="21417"/>
              <wp:lineTo x="21566" y="0"/>
              <wp:lineTo x="0" y="0"/>
            </wp:wrapPolygon>
          </wp:wrapTight>
          <wp:docPr id="1498153397" name="Obrázek 1498153397" descr="Obsah obrázku modrá, Elektricky modrá, nachový, fi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modrá, Elektricky modrá, nachový, fial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65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BF1" w:rsidRPr="008943D9">
      <w:rPr>
        <w:rFonts w:ascii="Arial" w:eastAsia="Arial" w:hAnsi="Arial" w:cs="Times New Roman"/>
        <w:noProof/>
        <w:color w:val="282A32"/>
        <w:sz w:val="24"/>
        <w:szCs w:val="24"/>
      </w:rPr>
      <w:drawing>
        <wp:anchor distT="0" distB="0" distL="114300" distR="114300" simplePos="0" relativeHeight="251658242" behindDoc="0" locked="0" layoutInCell="1" allowOverlap="1" wp14:anchorId="4CD41451" wp14:editId="1BD9498E">
          <wp:simplePos x="0" y="0"/>
          <wp:positionH relativeFrom="column">
            <wp:posOffset>4632388</wp:posOffset>
          </wp:positionH>
          <wp:positionV relativeFrom="paragraph">
            <wp:posOffset>57984</wp:posOffset>
          </wp:positionV>
          <wp:extent cx="1605280" cy="28702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619FF"/>
    <w:multiLevelType w:val="hybridMultilevel"/>
    <w:tmpl w:val="62E2E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E950CB"/>
    <w:rsid w:val="00001026"/>
    <w:rsid w:val="0001164D"/>
    <w:rsid w:val="00011A3E"/>
    <w:rsid w:val="00012E5D"/>
    <w:rsid w:val="0001607A"/>
    <w:rsid w:val="00023F5B"/>
    <w:rsid w:val="00032145"/>
    <w:rsid w:val="00036EB9"/>
    <w:rsid w:val="00044BEC"/>
    <w:rsid w:val="00047950"/>
    <w:rsid w:val="00051AAC"/>
    <w:rsid w:val="00054B4B"/>
    <w:rsid w:val="000556CC"/>
    <w:rsid w:val="0005700D"/>
    <w:rsid w:val="0006630D"/>
    <w:rsid w:val="00073B51"/>
    <w:rsid w:val="0008750B"/>
    <w:rsid w:val="0008786C"/>
    <w:rsid w:val="00093086"/>
    <w:rsid w:val="000947D3"/>
    <w:rsid w:val="00096A3C"/>
    <w:rsid w:val="000A7BF3"/>
    <w:rsid w:val="000B2DB5"/>
    <w:rsid w:val="000C43DE"/>
    <w:rsid w:val="000E5E26"/>
    <w:rsid w:val="000F0B7B"/>
    <w:rsid w:val="000F266B"/>
    <w:rsid w:val="000F2EA2"/>
    <w:rsid w:val="000F31EA"/>
    <w:rsid w:val="00102C55"/>
    <w:rsid w:val="001035E5"/>
    <w:rsid w:val="00105FD8"/>
    <w:rsid w:val="00107153"/>
    <w:rsid w:val="00110BC6"/>
    <w:rsid w:val="001149D8"/>
    <w:rsid w:val="00116A53"/>
    <w:rsid w:val="00121D82"/>
    <w:rsid w:val="0013318C"/>
    <w:rsid w:val="00135ACE"/>
    <w:rsid w:val="00137131"/>
    <w:rsid w:val="001411F7"/>
    <w:rsid w:val="00144C17"/>
    <w:rsid w:val="0014680D"/>
    <w:rsid w:val="00146ED2"/>
    <w:rsid w:val="001532C5"/>
    <w:rsid w:val="00154E4A"/>
    <w:rsid w:val="00155B65"/>
    <w:rsid w:val="00156B43"/>
    <w:rsid w:val="00157C49"/>
    <w:rsid w:val="00160F6A"/>
    <w:rsid w:val="001616B2"/>
    <w:rsid w:val="00161D81"/>
    <w:rsid w:val="00162200"/>
    <w:rsid w:val="00162BF9"/>
    <w:rsid w:val="00170B33"/>
    <w:rsid w:val="00172A2B"/>
    <w:rsid w:val="001875E1"/>
    <w:rsid w:val="001901E7"/>
    <w:rsid w:val="001920D8"/>
    <w:rsid w:val="00197045"/>
    <w:rsid w:val="001A16C8"/>
    <w:rsid w:val="001A6282"/>
    <w:rsid w:val="001B2879"/>
    <w:rsid w:val="001B6AD8"/>
    <w:rsid w:val="001C4DAB"/>
    <w:rsid w:val="001C5B0A"/>
    <w:rsid w:val="001C5C8C"/>
    <w:rsid w:val="001E17A9"/>
    <w:rsid w:val="001F1ACA"/>
    <w:rsid w:val="001F5B1C"/>
    <w:rsid w:val="001F6B23"/>
    <w:rsid w:val="001F75D8"/>
    <w:rsid w:val="0020483B"/>
    <w:rsid w:val="00205AF4"/>
    <w:rsid w:val="00210410"/>
    <w:rsid w:val="002145C4"/>
    <w:rsid w:val="00215BEA"/>
    <w:rsid w:val="00215EEE"/>
    <w:rsid w:val="00220BE7"/>
    <w:rsid w:val="0022471D"/>
    <w:rsid w:val="00225833"/>
    <w:rsid w:val="00236C49"/>
    <w:rsid w:val="002426D1"/>
    <w:rsid w:val="00247417"/>
    <w:rsid w:val="002903ED"/>
    <w:rsid w:val="00292835"/>
    <w:rsid w:val="00292A38"/>
    <w:rsid w:val="002960FA"/>
    <w:rsid w:val="00296F9E"/>
    <w:rsid w:val="002A131B"/>
    <w:rsid w:val="002A2E80"/>
    <w:rsid w:val="002A50B3"/>
    <w:rsid w:val="002A6100"/>
    <w:rsid w:val="002B625C"/>
    <w:rsid w:val="002C56EC"/>
    <w:rsid w:val="002D3C90"/>
    <w:rsid w:val="002D50A8"/>
    <w:rsid w:val="002D6877"/>
    <w:rsid w:val="002E737B"/>
    <w:rsid w:val="002F3479"/>
    <w:rsid w:val="002F5FDE"/>
    <w:rsid w:val="00305F53"/>
    <w:rsid w:val="00314C37"/>
    <w:rsid w:val="003176B3"/>
    <w:rsid w:val="00321262"/>
    <w:rsid w:val="003218CF"/>
    <w:rsid w:val="00321FA0"/>
    <w:rsid w:val="00323B61"/>
    <w:rsid w:val="00325108"/>
    <w:rsid w:val="00332ACE"/>
    <w:rsid w:val="003430B9"/>
    <w:rsid w:val="0034733A"/>
    <w:rsid w:val="00347967"/>
    <w:rsid w:val="003539E2"/>
    <w:rsid w:val="0037003B"/>
    <w:rsid w:val="00372B6F"/>
    <w:rsid w:val="00372F04"/>
    <w:rsid w:val="003756D4"/>
    <w:rsid w:val="00376A8D"/>
    <w:rsid w:val="00376EB7"/>
    <w:rsid w:val="00380520"/>
    <w:rsid w:val="0038427B"/>
    <w:rsid w:val="00391AF1"/>
    <w:rsid w:val="00392C5B"/>
    <w:rsid w:val="003A3891"/>
    <w:rsid w:val="003A5A33"/>
    <w:rsid w:val="003A5AC5"/>
    <w:rsid w:val="003B059C"/>
    <w:rsid w:val="003B089A"/>
    <w:rsid w:val="003B21D8"/>
    <w:rsid w:val="003D1D2C"/>
    <w:rsid w:val="003D387A"/>
    <w:rsid w:val="003E0009"/>
    <w:rsid w:val="003E1C7F"/>
    <w:rsid w:val="003F28B8"/>
    <w:rsid w:val="004008E7"/>
    <w:rsid w:val="00406840"/>
    <w:rsid w:val="00415056"/>
    <w:rsid w:val="00415A44"/>
    <w:rsid w:val="00417408"/>
    <w:rsid w:val="00420C0C"/>
    <w:rsid w:val="004310F0"/>
    <w:rsid w:val="0043590A"/>
    <w:rsid w:val="004519D9"/>
    <w:rsid w:val="004525F0"/>
    <w:rsid w:val="00452B1F"/>
    <w:rsid w:val="00455925"/>
    <w:rsid w:val="00463370"/>
    <w:rsid w:val="00464917"/>
    <w:rsid w:val="0046543B"/>
    <w:rsid w:val="00465D86"/>
    <w:rsid w:val="00470611"/>
    <w:rsid w:val="00473F98"/>
    <w:rsid w:val="00483884"/>
    <w:rsid w:val="00497AFB"/>
    <w:rsid w:val="004A1EAF"/>
    <w:rsid w:val="004A4ABF"/>
    <w:rsid w:val="004C0D74"/>
    <w:rsid w:val="004C1159"/>
    <w:rsid w:val="004C1E62"/>
    <w:rsid w:val="004C3BD6"/>
    <w:rsid w:val="004C410E"/>
    <w:rsid w:val="004D2B0E"/>
    <w:rsid w:val="004D5BF1"/>
    <w:rsid w:val="004D6A5D"/>
    <w:rsid w:val="004E2560"/>
    <w:rsid w:val="004E4243"/>
    <w:rsid w:val="004E7016"/>
    <w:rsid w:val="00502FAC"/>
    <w:rsid w:val="005109B5"/>
    <w:rsid w:val="0053352E"/>
    <w:rsid w:val="005339BA"/>
    <w:rsid w:val="00536E19"/>
    <w:rsid w:val="00540E3D"/>
    <w:rsid w:val="00547A66"/>
    <w:rsid w:val="00553AEB"/>
    <w:rsid w:val="00554DBD"/>
    <w:rsid w:val="00570513"/>
    <w:rsid w:val="005708EC"/>
    <w:rsid w:val="0058077C"/>
    <w:rsid w:val="005820CA"/>
    <w:rsid w:val="00591DDA"/>
    <w:rsid w:val="00595ECB"/>
    <w:rsid w:val="005A0FF7"/>
    <w:rsid w:val="005B42DC"/>
    <w:rsid w:val="005C15F0"/>
    <w:rsid w:val="005C37E7"/>
    <w:rsid w:val="005D4493"/>
    <w:rsid w:val="005E0E4F"/>
    <w:rsid w:val="005E5A5B"/>
    <w:rsid w:val="005F4FC2"/>
    <w:rsid w:val="00623B05"/>
    <w:rsid w:val="006337BD"/>
    <w:rsid w:val="006346C0"/>
    <w:rsid w:val="0066608F"/>
    <w:rsid w:val="00667AD5"/>
    <w:rsid w:val="006723D7"/>
    <w:rsid w:val="0067401A"/>
    <w:rsid w:val="00680871"/>
    <w:rsid w:val="00684E3B"/>
    <w:rsid w:val="00690A24"/>
    <w:rsid w:val="00692B7E"/>
    <w:rsid w:val="006951B6"/>
    <w:rsid w:val="006A5E35"/>
    <w:rsid w:val="006B03B0"/>
    <w:rsid w:val="006C0325"/>
    <w:rsid w:val="006C5A96"/>
    <w:rsid w:val="006D5594"/>
    <w:rsid w:val="006E5A88"/>
    <w:rsid w:val="006F167C"/>
    <w:rsid w:val="006F1C4A"/>
    <w:rsid w:val="007051B3"/>
    <w:rsid w:val="00724A94"/>
    <w:rsid w:val="00724B45"/>
    <w:rsid w:val="00731FB6"/>
    <w:rsid w:val="00740255"/>
    <w:rsid w:val="007528D6"/>
    <w:rsid w:val="00755DF9"/>
    <w:rsid w:val="00763749"/>
    <w:rsid w:val="00765797"/>
    <w:rsid w:val="00772C84"/>
    <w:rsid w:val="0077331F"/>
    <w:rsid w:val="0077385E"/>
    <w:rsid w:val="00773907"/>
    <w:rsid w:val="0077544D"/>
    <w:rsid w:val="00775772"/>
    <w:rsid w:val="007759D5"/>
    <w:rsid w:val="0078306D"/>
    <w:rsid w:val="007841A3"/>
    <w:rsid w:val="007936C0"/>
    <w:rsid w:val="00793D91"/>
    <w:rsid w:val="007959C3"/>
    <w:rsid w:val="007A22B7"/>
    <w:rsid w:val="007A70A3"/>
    <w:rsid w:val="007B2B56"/>
    <w:rsid w:val="007B2F2C"/>
    <w:rsid w:val="007B3952"/>
    <w:rsid w:val="007B5717"/>
    <w:rsid w:val="007C4CC3"/>
    <w:rsid w:val="007C4E14"/>
    <w:rsid w:val="007E14F5"/>
    <w:rsid w:val="007E509A"/>
    <w:rsid w:val="007F3D16"/>
    <w:rsid w:val="007F40BF"/>
    <w:rsid w:val="007F7CE5"/>
    <w:rsid w:val="00802C54"/>
    <w:rsid w:val="008031DF"/>
    <w:rsid w:val="0081183E"/>
    <w:rsid w:val="00816C39"/>
    <w:rsid w:val="008212F1"/>
    <w:rsid w:val="008305AE"/>
    <w:rsid w:val="0083641E"/>
    <w:rsid w:val="00840146"/>
    <w:rsid w:val="00840BDB"/>
    <w:rsid w:val="00842A63"/>
    <w:rsid w:val="00843190"/>
    <w:rsid w:val="00847534"/>
    <w:rsid w:val="00866E4D"/>
    <w:rsid w:val="008733C3"/>
    <w:rsid w:val="008835FD"/>
    <w:rsid w:val="008929BD"/>
    <w:rsid w:val="00893BA9"/>
    <w:rsid w:val="008943D9"/>
    <w:rsid w:val="008973FC"/>
    <w:rsid w:val="008A0AF3"/>
    <w:rsid w:val="008A16C9"/>
    <w:rsid w:val="008A49D3"/>
    <w:rsid w:val="008A7AEB"/>
    <w:rsid w:val="008B6554"/>
    <w:rsid w:val="008C5991"/>
    <w:rsid w:val="008D2A0B"/>
    <w:rsid w:val="008F7DAA"/>
    <w:rsid w:val="00903721"/>
    <w:rsid w:val="009042E8"/>
    <w:rsid w:val="00906DBF"/>
    <w:rsid w:val="00907768"/>
    <w:rsid w:val="009112B6"/>
    <w:rsid w:val="009141C1"/>
    <w:rsid w:val="00915976"/>
    <w:rsid w:val="009213A1"/>
    <w:rsid w:val="009260BC"/>
    <w:rsid w:val="009328B2"/>
    <w:rsid w:val="0093780C"/>
    <w:rsid w:val="0094162C"/>
    <w:rsid w:val="00942D50"/>
    <w:rsid w:val="0095230A"/>
    <w:rsid w:val="009526AD"/>
    <w:rsid w:val="009575AC"/>
    <w:rsid w:val="00965750"/>
    <w:rsid w:val="009667FF"/>
    <w:rsid w:val="00985B04"/>
    <w:rsid w:val="00986934"/>
    <w:rsid w:val="0098786A"/>
    <w:rsid w:val="00991A3C"/>
    <w:rsid w:val="009973CD"/>
    <w:rsid w:val="009A4853"/>
    <w:rsid w:val="009B0838"/>
    <w:rsid w:val="009B7841"/>
    <w:rsid w:val="009C2115"/>
    <w:rsid w:val="009C22D6"/>
    <w:rsid w:val="009D208F"/>
    <w:rsid w:val="009D3DC2"/>
    <w:rsid w:val="009E0FC1"/>
    <w:rsid w:val="009E1996"/>
    <w:rsid w:val="009E7686"/>
    <w:rsid w:val="009F0B48"/>
    <w:rsid w:val="009F12D3"/>
    <w:rsid w:val="00A003EC"/>
    <w:rsid w:val="00A00747"/>
    <w:rsid w:val="00A12A22"/>
    <w:rsid w:val="00A14C5E"/>
    <w:rsid w:val="00A161F2"/>
    <w:rsid w:val="00A34981"/>
    <w:rsid w:val="00A44D1E"/>
    <w:rsid w:val="00A469FF"/>
    <w:rsid w:val="00A471BF"/>
    <w:rsid w:val="00A52537"/>
    <w:rsid w:val="00A7095B"/>
    <w:rsid w:val="00A77141"/>
    <w:rsid w:val="00A84113"/>
    <w:rsid w:val="00A96DD9"/>
    <w:rsid w:val="00A97123"/>
    <w:rsid w:val="00AA17CA"/>
    <w:rsid w:val="00AB0210"/>
    <w:rsid w:val="00AB04AD"/>
    <w:rsid w:val="00AB0A08"/>
    <w:rsid w:val="00AB503C"/>
    <w:rsid w:val="00AB5510"/>
    <w:rsid w:val="00AC0E53"/>
    <w:rsid w:val="00AC0E67"/>
    <w:rsid w:val="00AC29E5"/>
    <w:rsid w:val="00AC3C2F"/>
    <w:rsid w:val="00AD2764"/>
    <w:rsid w:val="00AE2FCB"/>
    <w:rsid w:val="00AE4265"/>
    <w:rsid w:val="00AF6999"/>
    <w:rsid w:val="00B04F1F"/>
    <w:rsid w:val="00B05B84"/>
    <w:rsid w:val="00B07446"/>
    <w:rsid w:val="00B123AB"/>
    <w:rsid w:val="00B229DD"/>
    <w:rsid w:val="00B237D5"/>
    <w:rsid w:val="00B40DD6"/>
    <w:rsid w:val="00B50553"/>
    <w:rsid w:val="00B6171E"/>
    <w:rsid w:val="00B6262F"/>
    <w:rsid w:val="00B63811"/>
    <w:rsid w:val="00B65AF4"/>
    <w:rsid w:val="00B71A97"/>
    <w:rsid w:val="00B72900"/>
    <w:rsid w:val="00B771E2"/>
    <w:rsid w:val="00B773A3"/>
    <w:rsid w:val="00B77EFE"/>
    <w:rsid w:val="00B805F9"/>
    <w:rsid w:val="00B826DA"/>
    <w:rsid w:val="00B82D8D"/>
    <w:rsid w:val="00B8530B"/>
    <w:rsid w:val="00B8770F"/>
    <w:rsid w:val="00B94A96"/>
    <w:rsid w:val="00BA2C64"/>
    <w:rsid w:val="00BA4395"/>
    <w:rsid w:val="00BA5315"/>
    <w:rsid w:val="00BA560B"/>
    <w:rsid w:val="00BA7FDD"/>
    <w:rsid w:val="00BC0350"/>
    <w:rsid w:val="00BC1492"/>
    <w:rsid w:val="00BD1AFB"/>
    <w:rsid w:val="00BD3DDE"/>
    <w:rsid w:val="00BD5F0D"/>
    <w:rsid w:val="00BE23B7"/>
    <w:rsid w:val="00BE6A31"/>
    <w:rsid w:val="00BE76D2"/>
    <w:rsid w:val="00BF3E4D"/>
    <w:rsid w:val="00BF790D"/>
    <w:rsid w:val="00C02845"/>
    <w:rsid w:val="00C037F2"/>
    <w:rsid w:val="00C07ACD"/>
    <w:rsid w:val="00C1037B"/>
    <w:rsid w:val="00C156DF"/>
    <w:rsid w:val="00C17575"/>
    <w:rsid w:val="00C20BC2"/>
    <w:rsid w:val="00C275E9"/>
    <w:rsid w:val="00C42D50"/>
    <w:rsid w:val="00C42D69"/>
    <w:rsid w:val="00C434C4"/>
    <w:rsid w:val="00C44DBB"/>
    <w:rsid w:val="00C455F1"/>
    <w:rsid w:val="00C514F7"/>
    <w:rsid w:val="00C54DFF"/>
    <w:rsid w:val="00C62CE0"/>
    <w:rsid w:val="00C62D9B"/>
    <w:rsid w:val="00C63966"/>
    <w:rsid w:val="00C657BC"/>
    <w:rsid w:val="00C706F6"/>
    <w:rsid w:val="00C97C31"/>
    <w:rsid w:val="00CA4AD4"/>
    <w:rsid w:val="00CB1A9C"/>
    <w:rsid w:val="00CB1E37"/>
    <w:rsid w:val="00CB2F42"/>
    <w:rsid w:val="00CB3F90"/>
    <w:rsid w:val="00CB45AF"/>
    <w:rsid w:val="00CC2ABE"/>
    <w:rsid w:val="00CC5530"/>
    <w:rsid w:val="00CE0ADD"/>
    <w:rsid w:val="00CE0DBB"/>
    <w:rsid w:val="00CE397D"/>
    <w:rsid w:val="00CE5E12"/>
    <w:rsid w:val="00CF3D3C"/>
    <w:rsid w:val="00D13407"/>
    <w:rsid w:val="00D2020F"/>
    <w:rsid w:val="00D3323F"/>
    <w:rsid w:val="00D33E4C"/>
    <w:rsid w:val="00D40E4C"/>
    <w:rsid w:val="00D44AD5"/>
    <w:rsid w:val="00D44B57"/>
    <w:rsid w:val="00D53B79"/>
    <w:rsid w:val="00D54347"/>
    <w:rsid w:val="00D55DCC"/>
    <w:rsid w:val="00D61514"/>
    <w:rsid w:val="00D62550"/>
    <w:rsid w:val="00D6427F"/>
    <w:rsid w:val="00D667E6"/>
    <w:rsid w:val="00D727DB"/>
    <w:rsid w:val="00D73EB7"/>
    <w:rsid w:val="00D73F86"/>
    <w:rsid w:val="00D94A9E"/>
    <w:rsid w:val="00D962B1"/>
    <w:rsid w:val="00DA1ACA"/>
    <w:rsid w:val="00DB0712"/>
    <w:rsid w:val="00DB1FB5"/>
    <w:rsid w:val="00DB2164"/>
    <w:rsid w:val="00DB4083"/>
    <w:rsid w:val="00DC1B64"/>
    <w:rsid w:val="00DC634D"/>
    <w:rsid w:val="00DC6A58"/>
    <w:rsid w:val="00DE05F2"/>
    <w:rsid w:val="00DE1683"/>
    <w:rsid w:val="00DF3464"/>
    <w:rsid w:val="00DF3F74"/>
    <w:rsid w:val="00DF54A3"/>
    <w:rsid w:val="00DF5797"/>
    <w:rsid w:val="00DF5A44"/>
    <w:rsid w:val="00DF6642"/>
    <w:rsid w:val="00E00C4C"/>
    <w:rsid w:val="00E00D09"/>
    <w:rsid w:val="00E044E5"/>
    <w:rsid w:val="00E2570F"/>
    <w:rsid w:val="00E31FA1"/>
    <w:rsid w:val="00E35E79"/>
    <w:rsid w:val="00E441B4"/>
    <w:rsid w:val="00E44C9E"/>
    <w:rsid w:val="00E5419C"/>
    <w:rsid w:val="00E55581"/>
    <w:rsid w:val="00E61646"/>
    <w:rsid w:val="00E61D2D"/>
    <w:rsid w:val="00E6246D"/>
    <w:rsid w:val="00E63DC4"/>
    <w:rsid w:val="00E652A0"/>
    <w:rsid w:val="00E728A0"/>
    <w:rsid w:val="00E7373E"/>
    <w:rsid w:val="00E74659"/>
    <w:rsid w:val="00E85893"/>
    <w:rsid w:val="00E916C6"/>
    <w:rsid w:val="00E942DB"/>
    <w:rsid w:val="00EA0922"/>
    <w:rsid w:val="00EB03B3"/>
    <w:rsid w:val="00EB060F"/>
    <w:rsid w:val="00EB49D1"/>
    <w:rsid w:val="00EC09BA"/>
    <w:rsid w:val="00EC1849"/>
    <w:rsid w:val="00EC64A1"/>
    <w:rsid w:val="00ED0AFC"/>
    <w:rsid w:val="00ED38E2"/>
    <w:rsid w:val="00ED4375"/>
    <w:rsid w:val="00EE5EA2"/>
    <w:rsid w:val="00EF34D3"/>
    <w:rsid w:val="00EF6CCE"/>
    <w:rsid w:val="00F04F11"/>
    <w:rsid w:val="00F05514"/>
    <w:rsid w:val="00F14BB5"/>
    <w:rsid w:val="00F17651"/>
    <w:rsid w:val="00F21E8C"/>
    <w:rsid w:val="00F338F1"/>
    <w:rsid w:val="00F46201"/>
    <w:rsid w:val="00F52903"/>
    <w:rsid w:val="00F54E6D"/>
    <w:rsid w:val="00F579C8"/>
    <w:rsid w:val="00F61E79"/>
    <w:rsid w:val="00F70409"/>
    <w:rsid w:val="00F70CD5"/>
    <w:rsid w:val="00F77A23"/>
    <w:rsid w:val="00F80763"/>
    <w:rsid w:val="00F811BC"/>
    <w:rsid w:val="00F8691B"/>
    <w:rsid w:val="00F927AB"/>
    <w:rsid w:val="00F939B6"/>
    <w:rsid w:val="00F946FD"/>
    <w:rsid w:val="00F964C2"/>
    <w:rsid w:val="00FA04AD"/>
    <w:rsid w:val="00FA6992"/>
    <w:rsid w:val="00FA6AAC"/>
    <w:rsid w:val="00FA7413"/>
    <w:rsid w:val="00FA798B"/>
    <w:rsid w:val="00FB51B9"/>
    <w:rsid w:val="00FC32D2"/>
    <w:rsid w:val="00FD188D"/>
    <w:rsid w:val="00FE1F1A"/>
    <w:rsid w:val="00FF4BB3"/>
    <w:rsid w:val="00FF5A73"/>
    <w:rsid w:val="00FF623A"/>
    <w:rsid w:val="00FF65E4"/>
    <w:rsid w:val="0F125730"/>
    <w:rsid w:val="67E950CB"/>
    <w:rsid w:val="76E3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1C8D6"/>
  <w15:chartTrackingRefBased/>
  <w15:docId w15:val="{CA163A6C-F836-432E-95F5-7356A05F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6D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211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A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BF1"/>
  </w:style>
  <w:style w:type="paragraph" w:styleId="Zpat">
    <w:name w:val="footer"/>
    <w:basedOn w:val="Normln"/>
    <w:link w:val="ZpatChar"/>
    <w:uiPriority w:val="99"/>
    <w:unhideWhenUsed/>
    <w:rsid w:val="004D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BF1"/>
  </w:style>
  <w:style w:type="paragraph" w:styleId="Revize">
    <w:name w:val="Revision"/>
    <w:hidden/>
    <w:uiPriority w:val="99"/>
    <w:semiHidden/>
    <w:rsid w:val="00A52537"/>
    <w:pPr>
      <w:spacing w:after="0" w:line="240" w:lineRule="auto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7E14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861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583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0235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7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87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682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2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32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3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680831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7328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28528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333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724246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041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338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491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571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780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8372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2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407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19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447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375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01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580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36669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831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608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7B16FA3BBBC4E99E2FF075EB016F4" ma:contentTypeVersion="18" ma:contentTypeDescription="Vytvoří nový dokument" ma:contentTypeScope="" ma:versionID="1d0719cd272bf2b688ca883bae86447b">
  <xsd:schema xmlns:xsd="http://www.w3.org/2001/XMLSchema" xmlns:xs="http://www.w3.org/2001/XMLSchema" xmlns:p="http://schemas.microsoft.com/office/2006/metadata/properties" xmlns:ns2="6735e08d-fbbd-494d-9094-e6784df41fba" xmlns:ns3="6051d506-5b7f-4d5a-967b-78cfc6f28a17" targetNamespace="http://schemas.microsoft.com/office/2006/metadata/properties" ma:root="true" ma:fieldsID="61f988c8fc750adbb47085d4c8c7b6bd" ns2:_="" ns3:_="">
    <xsd:import namespace="6735e08d-fbbd-494d-9094-e6784df41fba"/>
    <xsd:import namespace="6051d506-5b7f-4d5a-967b-78cfc6f28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e08d-fbbd-494d-9094-e6784df41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3eabf1b-ca55-4ef7-a122-c0a3080e3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d506-5b7f-4d5a-967b-78cfc6f28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b865a3-e9a0-4ed6-8bba-e8e6a2fbd58f}" ma:internalName="TaxCatchAll" ma:showField="CatchAllData" ma:web="6051d506-5b7f-4d5a-967b-78cfc6f2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1d506-5b7f-4d5a-967b-78cfc6f28a17" xsi:nil="true"/>
    <lcf76f155ced4ddcb4097134ff3c332f xmlns="6735e08d-fbbd-494d-9094-e6784df41f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7A1C2-F460-4BAD-8F7B-81BB0A18B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AFF91-9AB8-4A4D-BA7E-74A8941F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e08d-fbbd-494d-9094-e6784df41fba"/>
    <ds:schemaRef ds:uri="6051d506-5b7f-4d5a-967b-78cfc6f28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4992E-7949-48FB-B195-BBF38B33641C}">
  <ds:schemaRefs>
    <ds:schemaRef ds:uri="http://schemas.microsoft.com/office/2006/metadata/properties"/>
    <ds:schemaRef ds:uri="http://schemas.microsoft.com/office/infopath/2007/PartnerControls"/>
    <ds:schemaRef ds:uri="6051d506-5b7f-4d5a-967b-78cfc6f28a17"/>
    <ds:schemaRef ds:uri="6735e08d-fbbd-494d-9094-e6784df41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Roth</dc:creator>
  <cp:keywords>, docId:3C0FCED488F7DBA70E6A47343F57FA50</cp:keywords>
  <dc:description/>
  <cp:lastModifiedBy>Šárka Kumperová</cp:lastModifiedBy>
  <cp:revision>29</cp:revision>
  <dcterms:created xsi:type="dcterms:W3CDTF">2025-03-10T23:31:00Z</dcterms:created>
  <dcterms:modified xsi:type="dcterms:W3CDTF">2026-03-10T07:05:00Z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0x0101009197B16FA3BBBC4E99E2FF075EB016F4</vt:lpwstr>
  </property>
</Properties>
</file>