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530" w:rsidRPr="00792794" w:rsidRDefault="00AE1530" w:rsidP="00AE1530">
      <w:pPr>
        <w:pStyle w:val="Documenttitle"/>
        <w:rPr>
          <w:rFonts w:ascii="Calibri" w:eastAsia="Arial Unicode MS" w:hAnsi="Calibri" w:cs="Calibri"/>
          <w:b w:val="0"/>
          <w:bCs w:val="0"/>
          <w:color w:val="auto"/>
          <w:sz w:val="24"/>
          <w:szCs w:val="24"/>
          <w:bdr w:val="nil"/>
          <w:lang w:val="en-US"/>
        </w:rPr>
      </w:pPr>
    </w:p>
    <w:p w:rsidR="00AE1530" w:rsidRPr="00792794" w:rsidRDefault="00792794" w:rsidP="00AE1530">
      <w:pPr>
        <w:pStyle w:val="Documenttitle"/>
        <w:rPr>
          <w:rFonts w:ascii="Calibri" w:hAnsi="Calibri" w:cs="Calibri"/>
          <w:color w:val="808080" w:themeColor="background1" w:themeShade="80"/>
          <w:sz w:val="18"/>
          <w:lang w:val="en-US"/>
        </w:rPr>
      </w:pPr>
      <w:r w:rsidRPr="00792794">
        <w:rPr>
          <w:rFonts w:ascii="Calibri" w:hAnsi="Calibri" w:cs="Calibri"/>
          <w:color w:val="808080" w:themeColor="background1" w:themeShade="80"/>
          <w:lang w:val="en-US"/>
        </w:rPr>
        <w:t>Press Release</w:t>
      </w:r>
    </w:p>
    <w:p w:rsidR="00AE1530" w:rsidRPr="00792794" w:rsidRDefault="00AE1530" w:rsidP="00AE1530">
      <w:pPr>
        <w:pStyle w:val="TextA"/>
        <w:rPr>
          <w:rFonts w:ascii="Calibri" w:hAnsi="Calibri" w:cs="Calibri"/>
          <w:b/>
          <w:bCs/>
          <w:sz w:val="28"/>
          <w:szCs w:val="28"/>
          <w:lang w:val="en-US"/>
        </w:rPr>
      </w:pPr>
    </w:p>
    <w:p w:rsidR="002564BE" w:rsidRPr="00792794" w:rsidRDefault="00792794" w:rsidP="002564BE">
      <w:pPr>
        <w:pStyle w:val="NoSpacing"/>
        <w:rPr>
          <w:rFonts w:ascii="Calibri" w:hAnsi="Calibri" w:cs="Calibri"/>
          <w:b/>
          <w:sz w:val="36"/>
          <w:szCs w:val="36"/>
        </w:rPr>
      </w:pPr>
      <w:r w:rsidRPr="00792794">
        <w:rPr>
          <w:rFonts w:ascii="Calibri" w:hAnsi="Calibri" w:cs="Calibri"/>
          <w:b/>
          <w:sz w:val="36"/>
          <w:szCs w:val="36"/>
        </w:rPr>
        <w:t>Deloitte’s Sports Business Group estimates that Football Money League clubs will miss out on revenue of over €2 billion by end of the 2020/21 season due to the COVID-19 pandemic</w:t>
      </w:r>
    </w:p>
    <w:p w:rsidR="00792794" w:rsidRPr="00792794" w:rsidRDefault="00792794" w:rsidP="002564BE">
      <w:pPr>
        <w:pStyle w:val="NoSpacing"/>
        <w:rPr>
          <w:rFonts w:ascii="Calibri" w:hAnsi="Calibri" w:cs="Calibri"/>
          <w:b/>
          <w:sz w:val="24"/>
          <w:szCs w:val="36"/>
        </w:rPr>
      </w:pPr>
    </w:p>
    <w:p w:rsidR="00792794" w:rsidRPr="00792794" w:rsidRDefault="00792794" w:rsidP="00792794">
      <w:pPr>
        <w:pStyle w:val="ListBulle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rPr>
          <w:rFonts w:ascii="Calibri" w:eastAsiaTheme="minorHAnsi" w:hAnsi="Calibri" w:cs="Calibri"/>
          <w:sz w:val="22"/>
          <w:szCs w:val="22"/>
          <w:bdr w:val="none" w:sz="0" w:space="0" w:color="auto"/>
          <w:lang w:val="en-GB"/>
        </w:rPr>
      </w:pPr>
      <w:r w:rsidRPr="00792794">
        <w:rPr>
          <w:rFonts w:ascii="Calibri" w:hAnsi="Calibri" w:cs="Calibri"/>
          <w:sz w:val="22"/>
          <w:szCs w:val="22"/>
          <w:lang w:val="en-GB"/>
        </w:rPr>
        <w:t>The 24</w:t>
      </w:r>
      <w:r w:rsidRPr="00792794">
        <w:rPr>
          <w:rFonts w:ascii="Calibri" w:hAnsi="Calibri" w:cs="Calibri"/>
          <w:sz w:val="22"/>
          <w:szCs w:val="22"/>
          <w:vertAlign w:val="superscript"/>
          <w:lang w:val="en-GB"/>
        </w:rPr>
        <w:t>th</w:t>
      </w:r>
      <w:r w:rsidRPr="00792794">
        <w:rPr>
          <w:rFonts w:ascii="Calibri" w:hAnsi="Calibri" w:cs="Calibri"/>
          <w:sz w:val="22"/>
          <w:szCs w:val="22"/>
          <w:lang w:val="en-GB"/>
        </w:rPr>
        <w:t xml:space="preserve"> edition of the </w:t>
      </w:r>
      <w:r w:rsidRPr="00792794">
        <w:rPr>
          <w:rFonts w:ascii="Calibri" w:hAnsi="Calibri" w:cs="Calibri"/>
          <w:i/>
          <w:iCs/>
          <w:sz w:val="22"/>
          <w:szCs w:val="22"/>
          <w:lang w:val="en-GB"/>
        </w:rPr>
        <w:t>Deloitte Football Money League</w:t>
      </w:r>
      <w:r w:rsidRPr="00792794">
        <w:rPr>
          <w:rFonts w:ascii="Calibri" w:hAnsi="Calibri" w:cs="Calibri"/>
          <w:sz w:val="22"/>
          <w:szCs w:val="22"/>
          <w:lang w:val="en-GB"/>
        </w:rPr>
        <w:t xml:space="preserve"> profiles the financial performance of the highest revenue generating clubs in world football during a disrupted 2019/20 season;</w:t>
      </w:r>
    </w:p>
    <w:p w:rsidR="00792794" w:rsidRPr="00792794" w:rsidRDefault="00792794" w:rsidP="00792794">
      <w:pPr>
        <w:pStyle w:val="ListBulle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rPr>
          <w:rFonts w:ascii="Calibri" w:hAnsi="Calibri" w:cs="Calibri"/>
          <w:sz w:val="22"/>
          <w:szCs w:val="22"/>
          <w:lang w:val="en-GB"/>
        </w:rPr>
      </w:pPr>
      <w:r w:rsidRPr="00792794">
        <w:rPr>
          <w:rFonts w:ascii="Calibri" w:hAnsi="Calibri" w:cs="Calibri"/>
          <w:sz w:val="22"/>
          <w:szCs w:val="22"/>
          <w:lang w:val="en-GB"/>
        </w:rPr>
        <w:t>This year’s top 20 Money League clubs generated €8.2 billion, a decline of 12% compared to 2018/19 (€9.3 billion); This €1.1 billion decrease is explained by:</w:t>
      </w:r>
    </w:p>
    <w:p w:rsidR="00792794" w:rsidRPr="00792794" w:rsidRDefault="00792794" w:rsidP="00792794">
      <w:pPr>
        <w:pStyle w:val="ListBulle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rPr>
          <w:rFonts w:ascii="Calibri" w:hAnsi="Calibri" w:cs="Calibri"/>
          <w:sz w:val="22"/>
          <w:szCs w:val="22"/>
          <w:lang w:val="en-GB"/>
        </w:rPr>
      </w:pPr>
      <w:r w:rsidRPr="00792794">
        <w:rPr>
          <w:rFonts w:ascii="Calibri" w:hAnsi="Calibri" w:cs="Calibri"/>
          <w:sz w:val="22"/>
          <w:szCs w:val="22"/>
          <w:lang w:val="en-GB"/>
        </w:rPr>
        <w:t>a €937m (23%) drop in broadcast revenue, primarily due to revenue deferral and broadcaster rebates;</w:t>
      </w:r>
    </w:p>
    <w:p w:rsidR="00792794" w:rsidRPr="00792794" w:rsidRDefault="00792794" w:rsidP="00792794">
      <w:pPr>
        <w:pStyle w:val="ListBulle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rPr>
          <w:rFonts w:ascii="Calibri" w:hAnsi="Calibri" w:cs="Calibri"/>
          <w:sz w:val="22"/>
          <w:szCs w:val="22"/>
          <w:lang w:val="en-GB"/>
        </w:rPr>
      </w:pPr>
      <w:r w:rsidRPr="00792794">
        <w:rPr>
          <w:rFonts w:ascii="Calibri" w:hAnsi="Calibri" w:cs="Calibri"/>
          <w:sz w:val="22"/>
          <w:szCs w:val="22"/>
          <w:lang w:val="en-GB"/>
        </w:rPr>
        <w:t xml:space="preserve">a €257m (17%) fall in </w:t>
      </w:r>
      <w:proofErr w:type="spellStart"/>
      <w:r w:rsidRPr="00792794">
        <w:rPr>
          <w:rFonts w:ascii="Calibri" w:hAnsi="Calibri" w:cs="Calibri"/>
          <w:sz w:val="22"/>
          <w:szCs w:val="22"/>
          <w:lang w:val="en-GB"/>
        </w:rPr>
        <w:t>matchday</w:t>
      </w:r>
      <w:proofErr w:type="spellEnd"/>
      <w:r w:rsidRPr="00792794">
        <w:rPr>
          <w:rFonts w:ascii="Calibri" w:hAnsi="Calibri" w:cs="Calibri"/>
          <w:sz w:val="22"/>
          <w:szCs w:val="22"/>
          <w:lang w:val="en-GB"/>
        </w:rPr>
        <w:t xml:space="preserve"> revenue; and</w:t>
      </w:r>
    </w:p>
    <w:p w:rsidR="00792794" w:rsidRPr="00792794" w:rsidRDefault="00792794" w:rsidP="00792794">
      <w:pPr>
        <w:pStyle w:val="ListBullet"/>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rPr>
          <w:rFonts w:ascii="Calibri" w:hAnsi="Calibri" w:cs="Calibri"/>
          <w:sz w:val="22"/>
          <w:szCs w:val="22"/>
          <w:lang w:val="en-GB"/>
        </w:rPr>
      </w:pPr>
      <w:proofErr w:type="gramStart"/>
      <w:r w:rsidRPr="00792794">
        <w:rPr>
          <w:rFonts w:ascii="Calibri" w:hAnsi="Calibri" w:cs="Calibri"/>
          <w:sz w:val="22"/>
          <w:szCs w:val="22"/>
          <w:lang w:val="en-GB"/>
        </w:rPr>
        <w:t>offset</w:t>
      </w:r>
      <w:proofErr w:type="gramEnd"/>
      <w:r w:rsidRPr="00792794">
        <w:rPr>
          <w:rFonts w:ascii="Calibri" w:hAnsi="Calibri" w:cs="Calibri"/>
          <w:sz w:val="22"/>
          <w:szCs w:val="22"/>
          <w:lang w:val="en-GB"/>
        </w:rPr>
        <w:t xml:space="preserve"> by a €105m (3%) increase in commercial revenue.</w:t>
      </w:r>
    </w:p>
    <w:p w:rsidR="00792794" w:rsidRPr="00792794" w:rsidRDefault="00792794" w:rsidP="00792794">
      <w:pPr>
        <w:pStyle w:val="ListBulle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rPr>
          <w:rFonts w:ascii="Calibri" w:hAnsi="Calibri" w:cs="Calibri"/>
          <w:sz w:val="22"/>
          <w:szCs w:val="22"/>
          <w:lang w:val="en-GB"/>
        </w:rPr>
      </w:pPr>
      <w:r w:rsidRPr="00792794">
        <w:rPr>
          <w:rFonts w:ascii="Calibri" w:hAnsi="Calibri" w:cs="Calibri"/>
          <w:sz w:val="22"/>
          <w:szCs w:val="22"/>
          <w:lang w:val="en-GB"/>
        </w:rPr>
        <w:t>Average revenue generated per club in the Money League top 20 was €409m in 2019/20, compared to €464m in 2018/19. This is similar to levels in the 2017/18 season;</w:t>
      </w:r>
    </w:p>
    <w:p w:rsidR="00792794" w:rsidRPr="00792794" w:rsidRDefault="00792794" w:rsidP="00792794">
      <w:pPr>
        <w:pStyle w:val="ListBulle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rPr>
          <w:rFonts w:ascii="Calibri" w:hAnsi="Calibri" w:cs="Calibri"/>
          <w:sz w:val="22"/>
          <w:szCs w:val="22"/>
          <w:lang w:val="en-GB"/>
        </w:rPr>
      </w:pPr>
      <w:r w:rsidRPr="00792794">
        <w:rPr>
          <w:rFonts w:ascii="Calibri" w:hAnsi="Calibri" w:cs="Calibri"/>
          <w:sz w:val="22"/>
          <w:szCs w:val="22"/>
          <w:lang w:val="en-GB"/>
        </w:rPr>
        <w:t>Rebates to broadcasters for the ‘big five’ leagues and UEFA reportedly total almost €1.2bn currently, of which a large proportion is borne by Money League clubs; and</w:t>
      </w:r>
    </w:p>
    <w:p w:rsidR="00792794" w:rsidRPr="00792794" w:rsidRDefault="00792794" w:rsidP="00792794">
      <w:pPr>
        <w:pStyle w:val="ListBulle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rPr>
          <w:rFonts w:ascii="Calibri" w:hAnsi="Calibri" w:cs="Calibri"/>
          <w:sz w:val="22"/>
          <w:szCs w:val="22"/>
          <w:lang w:val="en-GB"/>
        </w:rPr>
      </w:pPr>
      <w:proofErr w:type="spellStart"/>
      <w:r w:rsidRPr="00792794">
        <w:rPr>
          <w:rFonts w:ascii="Calibri" w:hAnsi="Calibri" w:cs="Calibri"/>
          <w:sz w:val="22"/>
          <w:szCs w:val="22"/>
          <w:lang w:val="en-GB"/>
        </w:rPr>
        <w:t>Matchday</w:t>
      </w:r>
      <w:proofErr w:type="spellEnd"/>
      <w:r w:rsidRPr="00792794">
        <w:rPr>
          <w:rFonts w:ascii="Calibri" w:hAnsi="Calibri" w:cs="Calibri"/>
          <w:sz w:val="22"/>
          <w:szCs w:val="22"/>
          <w:lang w:val="en-GB"/>
        </w:rPr>
        <w:t xml:space="preserve"> revenue of Money League clubs will likely be close to nil from March 2020, with fans seemingly unlikely to be able to return in significant numbers for any of the 2020/21 season.</w:t>
      </w:r>
    </w:p>
    <w:p w:rsidR="00792794" w:rsidRDefault="00792794" w:rsidP="00792794">
      <w:pPr>
        <w:pStyle w:val="ListBullet"/>
        <w:numPr>
          <w:ilvl w:val="0"/>
          <w:numId w:val="0"/>
        </w:numPr>
        <w:ind w:left="284"/>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The 20 highest revenue generating clubs in world football will have missed out on over €2 billion in revenue by the end of the 2020/21 season, according to the 24</w:t>
      </w:r>
      <w:r w:rsidRPr="00792794">
        <w:rPr>
          <w:rFonts w:ascii="Calibri" w:hAnsi="Calibri" w:cs="Calibri"/>
          <w:sz w:val="22"/>
          <w:szCs w:val="22"/>
          <w:vertAlign w:val="superscript"/>
          <w:lang w:val="en-GB"/>
        </w:rPr>
        <w:t>th</w:t>
      </w:r>
      <w:r w:rsidRPr="00792794">
        <w:rPr>
          <w:rFonts w:ascii="Calibri" w:hAnsi="Calibri" w:cs="Calibri"/>
          <w:sz w:val="22"/>
          <w:szCs w:val="22"/>
          <w:lang w:val="en-GB"/>
        </w:rPr>
        <w:t xml:space="preserve"> edition of the </w:t>
      </w:r>
      <w:r w:rsidRPr="00792794">
        <w:rPr>
          <w:rFonts w:ascii="Calibri" w:hAnsi="Calibri" w:cs="Calibri"/>
          <w:i/>
          <w:iCs/>
          <w:sz w:val="22"/>
          <w:szCs w:val="22"/>
          <w:lang w:val="en-GB"/>
        </w:rPr>
        <w:t>Football Money League</w:t>
      </w:r>
      <w:r w:rsidRPr="00792794">
        <w:rPr>
          <w:rFonts w:ascii="Calibri" w:hAnsi="Calibri" w:cs="Calibri"/>
          <w:sz w:val="22"/>
          <w:szCs w:val="22"/>
          <w:lang w:val="en-GB"/>
        </w:rPr>
        <w:t xml:space="preserve"> published by Deloitte’s Sports Business Group. Set against the context of the global economic and social disruption caused by the COVID-19 pandemic during the 2019/20 season, the report profiles the highest revenue generating clubs in world football.</w:t>
      </w:r>
    </w:p>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 xml:space="preserve">Under normal circumstances, clubs typically have a financial year-end that aligns with their domestic season (May or June for most European leagues). The disruption to the 2019/20 football season and the differing approaches by the various leagues, broadcasters and commercial partners have resulted in clubs’ revenue generated in respect of the 2019/20 season being spread across two financial years ending in 2020 and 2021. The majority of Deloitte’s analysis in this year’s Money League is focused on the financial year ending 2020. </w:t>
      </w:r>
    </w:p>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 xml:space="preserve">As a result, this has led to a deferral element and a permanently lost element (notably on </w:t>
      </w:r>
      <w:proofErr w:type="spellStart"/>
      <w:r w:rsidRPr="00792794">
        <w:rPr>
          <w:rFonts w:ascii="Calibri" w:hAnsi="Calibri" w:cs="Calibri"/>
          <w:sz w:val="22"/>
          <w:szCs w:val="22"/>
          <w:lang w:val="en-GB"/>
        </w:rPr>
        <w:t>matchday</w:t>
      </w:r>
      <w:proofErr w:type="spellEnd"/>
      <w:r w:rsidRPr="00792794">
        <w:rPr>
          <w:rFonts w:ascii="Calibri" w:hAnsi="Calibri" w:cs="Calibri"/>
          <w:sz w:val="22"/>
          <w:szCs w:val="22"/>
          <w:lang w:val="en-GB"/>
        </w:rPr>
        <w:t xml:space="preserve"> income, but also rebates to broadcasters) to the reduction in revenue. In terms of deferral, the disruption to the 2019/20 season in most clubs’ cases meant that approximately one quarter’s revenue from the financial year ending in 2020 has been shifted to the financial year ending in 2021, resulting in 2021 having an additional quarter’s revenue. </w:t>
      </w:r>
    </w:p>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Dan Jones, partner in the Sports Business Group at Deloitte, commented: “Leagues across the world took different approaches in response to the pandemic with respect to their seasons, ranging from postponement to termination, with final standings determined using different methodologies, to others being annulled entirely.</w:t>
      </w:r>
    </w:p>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“There is no doubt that this is one of the most testing times the football industry has ever had to endure. The absence of fans, postponement and cancellation of matches, rebates to broadcasters and the need to satisfy commercial partners have all significantly affected the compilation of the 2021 Football Money League. As a result, the comparability of relative performance between clubs in this year’s Money League is more challenging than usual.”</w:t>
      </w:r>
    </w:p>
    <w:p w:rsidR="00792794" w:rsidRPr="00792794" w:rsidRDefault="00792794" w:rsidP="00792794">
      <w:pPr>
        <w:pStyle w:val="ListBullet"/>
        <w:numPr>
          <w:ilvl w:val="0"/>
          <w:numId w:val="0"/>
        </w:numPr>
        <w:rPr>
          <w:rFonts w:ascii="Calibri" w:hAnsi="Calibri" w:cs="Calibri"/>
          <w:b/>
          <w:bCs/>
          <w:sz w:val="22"/>
          <w:szCs w:val="22"/>
          <w:lang w:val="en-GB"/>
        </w:rPr>
      </w:pPr>
    </w:p>
    <w:p w:rsidR="00792794" w:rsidRPr="00792794" w:rsidRDefault="00792794" w:rsidP="00792794">
      <w:pPr>
        <w:pStyle w:val="ListBullet"/>
        <w:numPr>
          <w:ilvl w:val="0"/>
          <w:numId w:val="0"/>
        </w:numPr>
        <w:rPr>
          <w:rFonts w:ascii="Calibri" w:hAnsi="Calibri" w:cs="Calibri"/>
          <w:b/>
          <w:bCs/>
          <w:sz w:val="22"/>
          <w:szCs w:val="22"/>
          <w:lang w:val="en-GB"/>
        </w:rPr>
      </w:pPr>
      <w:r w:rsidRPr="00792794">
        <w:rPr>
          <w:rFonts w:ascii="Calibri" w:hAnsi="Calibri" w:cs="Calibri"/>
          <w:b/>
          <w:bCs/>
          <w:sz w:val="22"/>
          <w:szCs w:val="22"/>
          <w:lang w:val="en-GB"/>
        </w:rPr>
        <w:t xml:space="preserve">In detail - the 2021 Football Money League </w:t>
      </w: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The 20 highest earning football clubs in the world generated €8.2 billion of combined revenue in 2019/20, down 12% on the prior season (€9.3 billion). The €1.1 billion decrease is explained by:</w:t>
      </w:r>
    </w:p>
    <w:p w:rsidR="00792794" w:rsidRPr="00792794" w:rsidRDefault="00792794" w:rsidP="00792794">
      <w:pPr>
        <w:rPr>
          <w:rFonts w:ascii="Calibri" w:hAnsi="Calibri" w:cs="Calibri"/>
          <w:sz w:val="22"/>
          <w:szCs w:val="22"/>
          <w:lang w:val="en-GB"/>
        </w:rPr>
      </w:pPr>
      <w:proofErr w:type="gramStart"/>
      <w:r w:rsidRPr="00792794">
        <w:rPr>
          <w:rFonts w:ascii="Calibri" w:hAnsi="Calibri" w:cs="Calibri"/>
          <w:sz w:val="22"/>
          <w:szCs w:val="22"/>
          <w:lang w:val="en-GB"/>
        </w:rPr>
        <w:t>a</w:t>
      </w:r>
      <w:proofErr w:type="gramEnd"/>
      <w:r w:rsidRPr="00792794">
        <w:rPr>
          <w:rFonts w:ascii="Calibri" w:hAnsi="Calibri" w:cs="Calibri"/>
          <w:sz w:val="22"/>
          <w:szCs w:val="22"/>
          <w:lang w:val="en-GB"/>
        </w:rPr>
        <w:t xml:space="preserve"> €937m (23%) drop in broadcast revenue, primarily due to the deferral of broadcast revenue into the financial year ending in 2021 and broadcaster rebates related to the disrupted 2019/20 season;</w:t>
      </w:r>
    </w:p>
    <w:p w:rsidR="00792794" w:rsidRPr="00792794" w:rsidRDefault="00792794" w:rsidP="00792794">
      <w:pPr>
        <w:rPr>
          <w:rFonts w:ascii="Calibri" w:hAnsi="Calibri" w:cs="Calibri"/>
          <w:sz w:val="22"/>
          <w:szCs w:val="22"/>
          <w:lang w:val="en-GB"/>
        </w:rPr>
      </w:pPr>
      <w:r w:rsidRPr="00792794">
        <w:rPr>
          <w:rFonts w:ascii="Calibri" w:hAnsi="Calibri" w:cs="Calibri"/>
          <w:sz w:val="22"/>
          <w:szCs w:val="22"/>
          <w:lang w:val="en-GB"/>
        </w:rPr>
        <w:t xml:space="preserve">a €257m (17%) fall of </w:t>
      </w:r>
      <w:proofErr w:type="spellStart"/>
      <w:r w:rsidRPr="00792794">
        <w:rPr>
          <w:rFonts w:ascii="Calibri" w:hAnsi="Calibri" w:cs="Calibri"/>
          <w:sz w:val="22"/>
          <w:szCs w:val="22"/>
          <w:lang w:val="en-GB"/>
        </w:rPr>
        <w:t>matchday</w:t>
      </w:r>
      <w:proofErr w:type="spellEnd"/>
      <w:r w:rsidRPr="00792794">
        <w:rPr>
          <w:rFonts w:ascii="Calibri" w:hAnsi="Calibri" w:cs="Calibri"/>
          <w:sz w:val="22"/>
          <w:szCs w:val="22"/>
          <w:lang w:val="en-GB"/>
        </w:rPr>
        <w:t xml:space="preserve"> revenue as matches were first postponed, then either cancelled or resumed behind closed doors and thus irrecoverable; </w:t>
      </w:r>
    </w:p>
    <w:p w:rsidR="00792794" w:rsidRPr="00792794" w:rsidRDefault="00792794" w:rsidP="00792794">
      <w:pPr>
        <w:rPr>
          <w:rFonts w:ascii="Calibri" w:hAnsi="Calibri" w:cs="Calibri"/>
          <w:sz w:val="22"/>
          <w:szCs w:val="22"/>
          <w:lang w:val="en-GB"/>
        </w:rPr>
      </w:pPr>
      <w:proofErr w:type="gramStart"/>
      <w:r w:rsidRPr="00792794">
        <w:rPr>
          <w:rFonts w:ascii="Calibri" w:hAnsi="Calibri" w:cs="Calibri"/>
          <w:sz w:val="22"/>
          <w:szCs w:val="22"/>
          <w:lang w:val="en-GB"/>
        </w:rPr>
        <w:t>offset</w:t>
      </w:r>
      <w:proofErr w:type="gramEnd"/>
      <w:r w:rsidRPr="00792794">
        <w:rPr>
          <w:rFonts w:ascii="Calibri" w:hAnsi="Calibri" w:cs="Calibri"/>
          <w:sz w:val="22"/>
          <w:szCs w:val="22"/>
          <w:lang w:val="en-GB"/>
        </w:rPr>
        <w:t xml:space="preserve"> by a €105m (3%) increase in commercial revenue, reflecting the commencement of several major commercial arrangements across Money League clubs in 2019/20.</w:t>
      </w:r>
    </w:p>
    <w:p w:rsidR="00792794" w:rsidRPr="00792794" w:rsidRDefault="00792794" w:rsidP="00792794">
      <w:pPr>
        <w:rPr>
          <w:rFonts w:ascii="Calibri" w:hAnsi="Calibri" w:cs="Calibri"/>
          <w:sz w:val="22"/>
          <w:szCs w:val="22"/>
          <w:lang w:val="en-GB" w:eastAsia="en-GB"/>
        </w:rPr>
      </w:pPr>
    </w:p>
    <w:p w:rsidR="00792794" w:rsidRPr="00792794" w:rsidRDefault="00792794" w:rsidP="00792794">
      <w:pPr>
        <w:rPr>
          <w:rFonts w:ascii="Calibri" w:hAnsi="Calibri" w:cs="Calibri"/>
          <w:sz w:val="22"/>
          <w:szCs w:val="22"/>
          <w:lang w:val="en-GB"/>
        </w:rPr>
      </w:pPr>
      <w:r w:rsidRPr="00792794">
        <w:rPr>
          <w:rFonts w:ascii="Calibri" w:hAnsi="Calibri" w:cs="Calibri"/>
          <w:sz w:val="22"/>
          <w:szCs w:val="22"/>
          <w:lang w:val="en-GB"/>
        </w:rPr>
        <w:t>Jones added: “Whilst no football club has been immune to the challenges of COVID-19, and other clubs have suffered more in relative terms, those in the Money League have borne the greatest financial impact in absolute value terms. In this year’s edition, the top 20 clubs generated an average of €409m per club, a decline of €55m compared to 2018/19 (€464m per club).</w:t>
      </w:r>
    </w:p>
    <w:p w:rsidR="00792794" w:rsidRPr="00792794" w:rsidRDefault="00792794" w:rsidP="00792794">
      <w:pPr>
        <w:rPr>
          <w:rFonts w:ascii="Calibri" w:hAnsi="Calibri" w:cs="Calibri"/>
          <w:sz w:val="22"/>
          <w:szCs w:val="22"/>
          <w:lang w:val="en-GB" w:eastAsia="en-GB"/>
        </w:rPr>
      </w:pPr>
    </w:p>
    <w:p w:rsidR="00792794" w:rsidRPr="00792794" w:rsidRDefault="00792794" w:rsidP="00792794">
      <w:pPr>
        <w:rPr>
          <w:rFonts w:ascii="Calibri" w:hAnsi="Calibri" w:cs="Calibri"/>
          <w:sz w:val="22"/>
          <w:szCs w:val="22"/>
          <w:lang w:val="en-GB"/>
        </w:rPr>
      </w:pPr>
      <w:r w:rsidRPr="00792794">
        <w:rPr>
          <w:rFonts w:ascii="Calibri" w:hAnsi="Calibri" w:cs="Calibri"/>
          <w:sz w:val="22"/>
          <w:szCs w:val="22"/>
          <w:lang w:val="en-GB"/>
        </w:rPr>
        <w:t xml:space="preserve">“The safe return of fans to stadia in significant numbers is one of the highest priorities across global football. </w:t>
      </w:r>
      <w:proofErr w:type="spellStart"/>
      <w:r w:rsidRPr="00792794">
        <w:rPr>
          <w:rFonts w:ascii="Calibri" w:hAnsi="Calibri" w:cs="Calibri"/>
          <w:sz w:val="22"/>
          <w:szCs w:val="22"/>
          <w:lang w:val="en-GB"/>
        </w:rPr>
        <w:t>Matchday</w:t>
      </w:r>
      <w:proofErr w:type="spellEnd"/>
      <w:r w:rsidRPr="00792794">
        <w:rPr>
          <w:rFonts w:ascii="Calibri" w:hAnsi="Calibri" w:cs="Calibri"/>
          <w:sz w:val="22"/>
          <w:szCs w:val="22"/>
          <w:lang w:val="en-GB"/>
        </w:rPr>
        <w:t xml:space="preserve"> operations are a cornerstone of a club’s business model and help drive other revenue-generating activity. Fans’ absence will be more fully reflected in next year’s Money League. The final size of the financial impact of the pandemic on football will depend, in no small part, on the timing and scale of fans’ return.”</w:t>
      </w:r>
    </w:p>
    <w:p w:rsidR="00792794" w:rsidRPr="00792794" w:rsidRDefault="00792794" w:rsidP="00792794">
      <w:pPr>
        <w:pStyle w:val="ListBullet"/>
        <w:numPr>
          <w:ilvl w:val="0"/>
          <w:numId w:val="0"/>
        </w:numPr>
        <w:rPr>
          <w:rFonts w:ascii="Calibri" w:hAnsi="Calibri" w:cs="Calibri"/>
          <w:b/>
          <w:bCs/>
          <w:sz w:val="22"/>
          <w:szCs w:val="22"/>
          <w:lang w:val="en-GB"/>
        </w:rPr>
      </w:pPr>
    </w:p>
    <w:p w:rsidR="00792794" w:rsidRPr="00792794" w:rsidRDefault="00792794" w:rsidP="00792794">
      <w:pPr>
        <w:pStyle w:val="ListBullet"/>
        <w:numPr>
          <w:ilvl w:val="0"/>
          <w:numId w:val="0"/>
        </w:numPr>
        <w:rPr>
          <w:rFonts w:ascii="Calibri" w:hAnsi="Calibri" w:cs="Calibri"/>
          <w:b/>
          <w:bCs/>
          <w:sz w:val="22"/>
          <w:szCs w:val="22"/>
          <w:lang w:val="en-GB"/>
        </w:rPr>
      </w:pPr>
      <w:r w:rsidRPr="00792794">
        <w:rPr>
          <w:rFonts w:ascii="Calibri" w:hAnsi="Calibri" w:cs="Calibri"/>
          <w:b/>
          <w:bCs/>
          <w:sz w:val="22"/>
          <w:szCs w:val="22"/>
          <w:lang w:val="en-GB"/>
        </w:rPr>
        <w:t>Club-by-club</w:t>
      </w: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Despite the significantly different conditions across leagues in the 2019/20 season, the Money League’s composition has remained broadly consistent with previous years. The constituents of the top ten remain unchanged, whilst 18 of the 20 clubs were present in last year’s Money League.</w:t>
      </w:r>
    </w:p>
    <w:p w:rsidR="00792794" w:rsidRPr="00792794" w:rsidRDefault="00792794" w:rsidP="00792794">
      <w:pPr>
        <w:pStyle w:val="ListBullet"/>
        <w:numPr>
          <w:ilvl w:val="0"/>
          <w:numId w:val="0"/>
        </w:numPr>
        <w:rPr>
          <w:rFonts w:ascii="Calibri" w:hAnsi="Calibri" w:cs="Calibri"/>
          <w:sz w:val="22"/>
          <w:szCs w:val="22"/>
          <w:lang w:val="en-GB"/>
        </w:rPr>
      </w:pPr>
      <w:bookmarkStart w:id="0" w:name="_Hlk61449589"/>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FC Barcelona (1</w:t>
      </w:r>
      <w:r w:rsidRPr="00792794">
        <w:rPr>
          <w:rFonts w:ascii="Calibri" w:hAnsi="Calibri" w:cs="Calibri"/>
          <w:sz w:val="22"/>
          <w:szCs w:val="22"/>
          <w:vertAlign w:val="superscript"/>
          <w:lang w:val="en-GB"/>
        </w:rPr>
        <w:t>st</w:t>
      </w:r>
      <w:r w:rsidRPr="00792794">
        <w:rPr>
          <w:rFonts w:ascii="Calibri" w:hAnsi="Calibri" w:cs="Calibri"/>
          <w:sz w:val="22"/>
          <w:szCs w:val="22"/>
          <w:lang w:val="en-GB"/>
        </w:rPr>
        <w:t xml:space="preserve"> - €715.1m) and Real Madrid (2</w:t>
      </w:r>
      <w:r w:rsidRPr="00792794">
        <w:rPr>
          <w:rFonts w:ascii="Calibri" w:hAnsi="Calibri" w:cs="Calibri"/>
          <w:sz w:val="22"/>
          <w:szCs w:val="22"/>
          <w:vertAlign w:val="superscript"/>
          <w:lang w:val="en-GB"/>
        </w:rPr>
        <w:t>nd</w:t>
      </w:r>
      <w:r w:rsidRPr="00792794">
        <w:rPr>
          <w:rFonts w:ascii="Calibri" w:hAnsi="Calibri" w:cs="Calibri"/>
          <w:sz w:val="22"/>
          <w:szCs w:val="22"/>
          <w:lang w:val="en-GB"/>
        </w:rPr>
        <w:t xml:space="preserve"> - €714.9m) remained at the top of this year’s Money League, with the gap between the two of just €0.2m being the closest in Money League history.</w:t>
      </w:r>
    </w:p>
    <w:bookmarkEnd w:id="0"/>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 xml:space="preserve">Barcelona suffered the second largest revenue fall in absolute terms of any Money League club, off the back of its record-breaking year in 2018/19 when it became the first club to break the €800m revenue barrier (€840.8m). </w:t>
      </w:r>
    </w:p>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 xml:space="preserve">Real Madrid’s revenue decline was smaller. The club achieved a €28.1m (8%) increase in commercial revenue following the extension of key partnerships and from taking control of more revenue generating activities in-house. </w:t>
      </w:r>
    </w:p>
    <w:p w:rsidR="00792794" w:rsidRPr="00792794" w:rsidRDefault="00792794" w:rsidP="00792794">
      <w:pPr>
        <w:pStyle w:val="ListBullet"/>
        <w:numPr>
          <w:ilvl w:val="0"/>
          <w:numId w:val="0"/>
        </w:numPr>
        <w:rPr>
          <w:rFonts w:ascii="Calibri" w:hAnsi="Calibri" w:cs="Calibri"/>
          <w:sz w:val="22"/>
          <w:szCs w:val="22"/>
          <w:highlight w:val="yellow"/>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 xml:space="preserve">Bayern Munich (€634.1m) rose to third place in this year’s Money League. A first top three placing since 2013/14. The club had the smallest revenue decrease (4%) of the Money League top ten, benefitting from being able to recognise all of its domestic broadcast revenue in the financial year ending in 2020 due to the earlier completion of the Bundesliga season. </w:t>
      </w:r>
    </w:p>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 xml:space="preserve">Manchester United’s revenue of €580.4m (£509m) saw them slip to fourth place after a revenue decrease of €131.1m (£118.1m, 19%), the largest year-on-year decline in this year’s Money League. This was largely due to the Red Devils not competing in the 2019/20 UEFA Champions League as well as being affected by the absence of </w:t>
      </w:r>
      <w:proofErr w:type="spellStart"/>
      <w:r w:rsidRPr="00792794">
        <w:rPr>
          <w:rFonts w:ascii="Calibri" w:hAnsi="Calibri" w:cs="Calibri"/>
          <w:sz w:val="22"/>
          <w:szCs w:val="22"/>
          <w:lang w:val="en-GB"/>
        </w:rPr>
        <w:t>matchday</w:t>
      </w:r>
      <w:proofErr w:type="spellEnd"/>
      <w:r w:rsidRPr="00792794">
        <w:rPr>
          <w:rFonts w:ascii="Calibri" w:hAnsi="Calibri" w:cs="Calibri"/>
          <w:sz w:val="22"/>
          <w:szCs w:val="22"/>
          <w:lang w:val="en-GB"/>
        </w:rPr>
        <w:t xml:space="preserve"> revenue and broadcast rebates and deferrals. </w:t>
      </w:r>
    </w:p>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 xml:space="preserve">On the other hand, Liverpool entered the top five for the first time since 2001/02 with revenue of €558.6m (£489.9m). The club’s on-pitch success of the past few years continues to fuel financial success with the benefits associated with its Premier League triumph spread across the financial years ending in 2020 and 2021. </w:t>
      </w:r>
    </w:p>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Manchester City (6</w:t>
      </w:r>
      <w:r w:rsidRPr="00792794">
        <w:rPr>
          <w:rFonts w:ascii="Calibri" w:hAnsi="Calibri" w:cs="Calibri"/>
          <w:sz w:val="22"/>
          <w:szCs w:val="22"/>
          <w:vertAlign w:val="superscript"/>
          <w:lang w:val="en-GB"/>
        </w:rPr>
        <w:t>th</w:t>
      </w:r>
      <w:r w:rsidRPr="00792794">
        <w:rPr>
          <w:rFonts w:ascii="Calibri" w:hAnsi="Calibri" w:cs="Calibri"/>
          <w:sz w:val="22"/>
          <w:szCs w:val="22"/>
          <w:lang w:val="en-GB"/>
        </w:rPr>
        <w:t xml:space="preserve"> - €549.2m / £481.6m), Paris Saint-Germain (7</w:t>
      </w:r>
      <w:r w:rsidRPr="00792794">
        <w:rPr>
          <w:rFonts w:ascii="Calibri" w:hAnsi="Calibri" w:cs="Calibri"/>
          <w:sz w:val="22"/>
          <w:szCs w:val="22"/>
          <w:vertAlign w:val="superscript"/>
          <w:lang w:val="en-GB"/>
        </w:rPr>
        <w:t>th</w:t>
      </w:r>
      <w:r w:rsidRPr="00792794">
        <w:rPr>
          <w:rFonts w:ascii="Calibri" w:hAnsi="Calibri" w:cs="Calibri"/>
          <w:sz w:val="22"/>
          <w:szCs w:val="22"/>
          <w:lang w:val="en-GB"/>
        </w:rPr>
        <w:t xml:space="preserve"> - €540.6m), Chelsea (8</w:t>
      </w:r>
      <w:r w:rsidRPr="00792794">
        <w:rPr>
          <w:rFonts w:ascii="Calibri" w:hAnsi="Calibri" w:cs="Calibri"/>
          <w:sz w:val="22"/>
          <w:szCs w:val="22"/>
          <w:vertAlign w:val="superscript"/>
          <w:lang w:val="en-GB"/>
        </w:rPr>
        <w:t>th</w:t>
      </w:r>
      <w:r w:rsidRPr="00792794">
        <w:rPr>
          <w:rFonts w:ascii="Calibri" w:hAnsi="Calibri" w:cs="Calibri"/>
          <w:sz w:val="22"/>
          <w:szCs w:val="22"/>
          <w:lang w:val="en-GB"/>
        </w:rPr>
        <w:t xml:space="preserve"> €469.7m / £411.9m), Tottenham Hotspur (9</w:t>
      </w:r>
      <w:r w:rsidRPr="00792794">
        <w:rPr>
          <w:rFonts w:ascii="Calibri" w:hAnsi="Calibri" w:cs="Calibri"/>
          <w:sz w:val="22"/>
          <w:szCs w:val="22"/>
          <w:vertAlign w:val="superscript"/>
          <w:lang w:val="en-GB"/>
        </w:rPr>
        <w:t>th</w:t>
      </w:r>
      <w:r w:rsidRPr="00792794">
        <w:rPr>
          <w:rFonts w:ascii="Calibri" w:hAnsi="Calibri" w:cs="Calibri"/>
          <w:sz w:val="22"/>
          <w:szCs w:val="22"/>
          <w:lang w:val="en-GB"/>
        </w:rPr>
        <w:t xml:space="preserve"> - €445.7m / £390.9m) and Juventus (10</w:t>
      </w:r>
      <w:r w:rsidRPr="00792794">
        <w:rPr>
          <w:rFonts w:ascii="Calibri" w:hAnsi="Calibri" w:cs="Calibri"/>
          <w:sz w:val="22"/>
          <w:szCs w:val="22"/>
          <w:vertAlign w:val="superscript"/>
          <w:lang w:val="en-GB"/>
        </w:rPr>
        <w:t>th</w:t>
      </w:r>
      <w:r w:rsidRPr="00792794">
        <w:rPr>
          <w:rFonts w:ascii="Calibri" w:hAnsi="Calibri" w:cs="Calibri"/>
          <w:sz w:val="22"/>
          <w:szCs w:val="22"/>
          <w:lang w:val="en-GB"/>
        </w:rPr>
        <w:t xml:space="preserve"> - €397.9m) make up the remainder of the top ten. </w:t>
      </w:r>
    </w:p>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 xml:space="preserve">18 of the 20 clubs were also present in last year’s edition – with FC </w:t>
      </w:r>
      <w:proofErr w:type="spellStart"/>
      <w:r w:rsidRPr="00792794">
        <w:rPr>
          <w:rFonts w:ascii="Calibri" w:hAnsi="Calibri" w:cs="Calibri"/>
          <w:sz w:val="22"/>
          <w:szCs w:val="22"/>
          <w:lang w:val="en-GB"/>
        </w:rPr>
        <w:t>Zenit</w:t>
      </w:r>
      <w:proofErr w:type="spellEnd"/>
      <w:r w:rsidRPr="00792794">
        <w:rPr>
          <w:rFonts w:ascii="Calibri" w:hAnsi="Calibri" w:cs="Calibri"/>
          <w:sz w:val="22"/>
          <w:szCs w:val="22"/>
          <w:lang w:val="en-GB"/>
        </w:rPr>
        <w:t xml:space="preserve"> (15</w:t>
      </w:r>
      <w:r w:rsidRPr="00792794">
        <w:rPr>
          <w:rFonts w:ascii="Calibri" w:hAnsi="Calibri" w:cs="Calibri"/>
          <w:sz w:val="22"/>
          <w:szCs w:val="22"/>
          <w:vertAlign w:val="superscript"/>
          <w:lang w:val="en-GB"/>
        </w:rPr>
        <w:t>th</w:t>
      </w:r>
      <w:r w:rsidRPr="00792794">
        <w:rPr>
          <w:rFonts w:ascii="Calibri" w:hAnsi="Calibri" w:cs="Calibri"/>
          <w:sz w:val="22"/>
          <w:szCs w:val="22"/>
          <w:lang w:val="en-GB"/>
        </w:rPr>
        <w:t xml:space="preserve"> - €236.5m) and </w:t>
      </w:r>
      <w:proofErr w:type="spellStart"/>
      <w:r w:rsidRPr="00792794">
        <w:rPr>
          <w:rFonts w:ascii="Calibri" w:hAnsi="Calibri" w:cs="Calibri"/>
          <w:sz w:val="22"/>
          <w:szCs w:val="22"/>
          <w:lang w:val="en-GB"/>
        </w:rPr>
        <w:t>Eintracht</w:t>
      </w:r>
      <w:proofErr w:type="spellEnd"/>
      <w:r w:rsidRPr="00792794">
        <w:rPr>
          <w:rFonts w:ascii="Calibri" w:hAnsi="Calibri" w:cs="Calibri"/>
          <w:sz w:val="22"/>
          <w:szCs w:val="22"/>
          <w:lang w:val="en-GB"/>
        </w:rPr>
        <w:t xml:space="preserve"> Frankfurt (20</w:t>
      </w:r>
      <w:r w:rsidRPr="00792794">
        <w:rPr>
          <w:rFonts w:ascii="Calibri" w:hAnsi="Calibri" w:cs="Calibri"/>
          <w:sz w:val="22"/>
          <w:szCs w:val="22"/>
          <w:vertAlign w:val="superscript"/>
          <w:lang w:val="en-GB"/>
        </w:rPr>
        <w:t>th</w:t>
      </w:r>
      <w:r w:rsidRPr="00792794">
        <w:rPr>
          <w:rFonts w:ascii="Calibri" w:hAnsi="Calibri" w:cs="Calibri"/>
          <w:sz w:val="22"/>
          <w:szCs w:val="22"/>
          <w:lang w:val="en-GB"/>
        </w:rPr>
        <w:t xml:space="preserve"> - €174m) replacing AS Roma and West Ham United. </w:t>
      </w:r>
      <w:proofErr w:type="spellStart"/>
      <w:r w:rsidRPr="00792794">
        <w:rPr>
          <w:rFonts w:ascii="Calibri" w:hAnsi="Calibri" w:cs="Calibri"/>
          <w:sz w:val="22"/>
          <w:szCs w:val="22"/>
          <w:lang w:val="en-GB"/>
        </w:rPr>
        <w:t>Zenit’s</w:t>
      </w:r>
      <w:proofErr w:type="spellEnd"/>
      <w:r w:rsidRPr="00792794">
        <w:rPr>
          <w:rFonts w:ascii="Calibri" w:hAnsi="Calibri" w:cs="Calibri"/>
          <w:sz w:val="22"/>
          <w:szCs w:val="22"/>
          <w:lang w:val="en-GB"/>
        </w:rPr>
        <w:t xml:space="preserve"> revenues were boosted by participation in the 2019/20 Champions League and benefitted from having a calendar year end (to 31 December 2019) and hence their revenues for the period were largely unaffected by the pandemic, whilst the completion of the Bundesliga season within the financial year helped </w:t>
      </w:r>
      <w:proofErr w:type="spellStart"/>
      <w:r w:rsidRPr="00792794">
        <w:rPr>
          <w:rFonts w:ascii="Calibri" w:hAnsi="Calibri" w:cs="Calibri"/>
          <w:sz w:val="22"/>
          <w:szCs w:val="22"/>
          <w:lang w:val="en-GB"/>
        </w:rPr>
        <w:t>Eintracht</w:t>
      </w:r>
      <w:proofErr w:type="spellEnd"/>
      <w:r w:rsidRPr="00792794">
        <w:rPr>
          <w:rFonts w:ascii="Calibri" w:hAnsi="Calibri" w:cs="Calibri"/>
          <w:sz w:val="22"/>
          <w:szCs w:val="22"/>
          <w:lang w:val="en-GB"/>
        </w:rPr>
        <w:t xml:space="preserve"> Frankfurt enter the Money League top 20 for the first time.</w:t>
      </w:r>
    </w:p>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 xml:space="preserve">Only two clubs in the Money League top 20, FC </w:t>
      </w:r>
      <w:proofErr w:type="spellStart"/>
      <w:r w:rsidRPr="00792794">
        <w:rPr>
          <w:rFonts w:ascii="Calibri" w:hAnsi="Calibri" w:cs="Calibri"/>
          <w:sz w:val="22"/>
          <w:szCs w:val="22"/>
          <w:lang w:val="en-GB"/>
        </w:rPr>
        <w:t>Zenit</w:t>
      </w:r>
      <w:proofErr w:type="spellEnd"/>
      <w:r w:rsidRPr="00792794">
        <w:rPr>
          <w:rFonts w:ascii="Calibri" w:hAnsi="Calibri" w:cs="Calibri"/>
          <w:sz w:val="22"/>
          <w:szCs w:val="22"/>
          <w:lang w:val="en-GB"/>
        </w:rPr>
        <w:t xml:space="preserve"> and Everton (17</w:t>
      </w:r>
      <w:r w:rsidRPr="00792794">
        <w:rPr>
          <w:rFonts w:ascii="Calibri" w:hAnsi="Calibri" w:cs="Calibri"/>
          <w:sz w:val="22"/>
          <w:szCs w:val="22"/>
          <w:vertAlign w:val="superscript"/>
          <w:lang w:val="en-GB"/>
        </w:rPr>
        <w:t>th</w:t>
      </w:r>
      <w:r w:rsidRPr="00792794">
        <w:rPr>
          <w:rFonts w:ascii="Calibri" w:hAnsi="Calibri" w:cs="Calibri"/>
          <w:sz w:val="22"/>
          <w:szCs w:val="22"/>
          <w:lang w:val="en-GB"/>
        </w:rPr>
        <w:t xml:space="preserve"> - €212m / £185.9m) saw an increase in revenue compared to the previous year. Everton’s marginal revenue growth was driven by the club’s commercial revenue more than doubling to €86.7m (£76m). This was the largest growth (104%) in commercial revenue across all Money League clubs.</w:t>
      </w:r>
    </w:p>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 xml:space="preserve">Tim Bridge, director in Deloitte’s Sports Business Group, commented: </w:t>
      </w:r>
      <w:bookmarkStart w:id="1" w:name="_Hlk61449034"/>
      <w:r w:rsidRPr="00792794">
        <w:rPr>
          <w:rFonts w:ascii="Calibri" w:hAnsi="Calibri" w:cs="Calibri"/>
          <w:sz w:val="22"/>
          <w:szCs w:val="22"/>
          <w:lang w:val="en-GB"/>
        </w:rPr>
        <w:t>“The COVID-19 pandemic has provided an impetus for clubs to rethink and recalibrate their wider strategic objectives and business models to ensure a strong recovery from the current situation.</w:t>
      </w:r>
    </w:p>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“In particular, the focus on both internal and external digital capabilities has accelerated as digital interaction has become the dominant way in which clubs can engage with their employees and fans. The most agile, and innovative clubs will be the best placed to deliver the greater value to their key stakeholders and be rewarded with the fastest and strongest recovery.”</w:t>
      </w:r>
      <w:bookmarkEnd w:id="1"/>
    </w:p>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b/>
          <w:bCs/>
          <w:sz w:val="22"/>
          <w:szCs w:val="22"/>
          <w:lang w:val="en-GB"/>
        </w:rPr>
      </w:pPr>
      <w:r w:rsidRPr="00792794">
        <w:rPr>
          <w:rFonts w:ascii="Calibri" w:hAnsi="Calibri" w:cs="Calibri"/>
          <w:b/>
          <w:bCs/>
          <w:sz w:val="22"/>
          <w:szCs w:val="22"/>
          <w:lang w:val="en-GB"/>
        </w:rPr>
        <w:t>Future outlook</w:t>
      </w:r>
    </w:p>
    <w:p w:rsidR="00792794" w:rsidRPr="00792794" w:rsidRDefault="00792794" w:rsidP="00792794">
      <w:pPr>
        <w:spacing w:line="252" w:lineRule="auto"/>
        <w:rPr>
          <w:rFonts w:ascii="Calibri" w:hAnsi="Calibri" w:cs="Calibri"/>
          <w:sz w:val="22"/>
          <w:szCs w:val="22"/>
          <w:lang w:val="en-GB"/>
        </w:rPr>
      </w:pPr>
      <w:r w:rsidRPr="00792794">
        <w:rPr>
          <w:rFonts w:ascii="Calibri" w:hAnsi="Calibri" w:cs="Calibri"/>
          <w:sz w:val="22"/>
          <w:szCs w:val="22"/>
          <w:lang w:val="en-GB"/>
        </w:rPr>
        <w:t>Deloitte’s Sports Business Group estimates that this year’s Money League clubs will have missed out on over €2 billion in revenue by the end of the 2020/21 season. This figure includes amounts missed in respect of 2019/20 as a result of the COVID-19 pandemic, primarily due to:</w:t>
      </w:r>
    </w:p>
    <w:p w:rsidR="00792794" w:rsidRPr="00792794" w:rsidRDefault="00792794" w:rsidP="00792794">
      <w:pPr>
        <w:spacing w:line="252" w:lineRule="auto"/>
        <w:rPr>
          <w:rFonts w:ascii="Calibri" w:hAnsi="Calibri" w:cs="Calibri"/>
          <w:sz w:val="22"/>
          <w:szCs w:val="22"/>
          <w:lang w:val="en-GB"/>
        </w:rPr>
      </w:pPr>
      <w:proofErr w:type="spellStart"/>
      <w:r w:rsidRPr="00792794">
        <w:rPr>
          <w:rFonts w:ascii="Calibri" w:hAnsi="Calibri" w:cs="Calibri"/>
          <w:sz w:val="22"/>
          <w:szCs w:val="22"/>
          <w:lang w:val="en-GB"/>
        </w:rPr>
        <w:t>Matchday</w:t>
      </w:r>
      <w:proofErr w:type="spellEnd"/>
      <w:r w:rsidRPr="00792794">
        <w:rPr>
          <w:rFonts w:ascii="Calibri" w:hAnsi="Calibri" w:cs="Calibri"/>
          <w:sz w:val="22"/>
          <w:szCs w:val="22"/>
          <w:lang w:val="en-GB"/>
        </w:rPr>
        <w:t xml:space="preserve"> revenue of Money League clubs being close to nil from March 2020 onwards, with fans seemingly unlikely to be able to return in significant numbers for any of the 2020/21 season; </w:t>
      </w:r>
    </w:p>
    <w:p w:rsidR="00792794" w:rsidRPr="00792794" w:rsidRDefault="00792794" w:rsidP="00792794">
      <w:pPr>
        <w:spacing w:line="252" w:lineRule="auto"/>
        <w:rPr>
          <w:rFonts w:ascii="Calibri" w:hAnsi="Calibri" w:cs="Calibri"/>
          <w:sz w:val="22"/>
          <w:szCs w:val="22"/>
          <w:lang w:val="en-GB"/>
        </w:rPr>
      </w:pPr>
      <w:r w:rsidRPr="00792794">
        <w:rPr>
          <w:rFonts w:ascii="Calibri" w:hAnsi="Calibri" w:cs="Calibri"/>
          <w:sz w:val="22"/>
          <w:szCs w:val="22"/>
          <w:lang w:val="en-GB"/>
        </w:rPr>
        <w:t>Broadcast rebates of the ‘big five’ leagues and UEFA reportedly total almost €1.2bn currently, of which a large proportion is borne by Money League clubs; and</w:t>
      </w:r>
    </w:p>
    <w:p w:rsidR="00792794" w:rsidRPr="00792794" w:rsidRDefault="00792794" w:rsidP="00792794">
      <w:pPr>
        <w:spacing w:line="252" w:lineRule="auto"/>
        <w:rPr>
          <w:rFonts w:ascii="Calibri" w:hAnsi="Calibri" w:cs="Calibri"/>
          <w:sz w:val="22"/>
          <w:szCs w:val="22"/>
          <w:lang w:val="en-GB"/>
        </w:rPr>
      </w:pPr>
      <w:r w:rsidRPr="00792794">
        <w:rPr>
          <w:rFonts w:ascii="Calibri" w:hAnsi="Calibri" w:cs="Calibri"/>
          <w:sz w:val="22"/>
          <w:szCs w:val="22"/>
          <w:lang w:val="en-GB"/>
        </w:rPr>
        <w:t>The lost potential to continue their previous growth trajectory over the period.</w:t>
      </w:r>
    </w:p>
    <w:p w:rsidR="00792794" w:rsidRPr="00792794" w:rsidRDefault="00792794" w:rsidP="00792794">
      <w:pPr>
        <w:spacing w:line="252" w:lineRule="auto"/>
        <w:rPr>
          <w:rFonts w:ascii="Calibri" w:hAnsi="Calibri" w:cs="Calibri"/>
          <w:sz w:val="22"/>
          <w:szCs w:val="22"/>
          <w:lang w:val="en-GB"/>
        </w:rPr>
      </w:pPr>
      <w:r w:rsidRPr="00792794">
        <w:rPr>
          <w:rFonts w:ascii="Calibri" w:hAnsi="Calibri" w:cs="Calibri"/>
          <w:sz w:val="22"/>
          <w:szCs w:val="22"/>
          <w:lang w:val="en-GB"/>
        </w:rPr>
        <w:t xml:space="preserve">Jones concluded: “We remain strong believers in the fundamental value of top-level football to fans, broadcasters and other commercial partners. We are confident in the resilience of the industry and expect it to bounce back strongly in future years. </w:t>
      </w: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“The events of the past year have challenged the ability of clubs to drive their own revenue growth. Any short term ambitions they may have had will likely only be achievable as medium term goals once fans return to stadia and the effect of the pandemic on the global economy and the path to recovery from it becomes clearer.</w:t>
      </w:r>
    </w:p>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 xml:space="preserve">“The full financial impact of COVID-19 may not be realised for years to come, with continued uncertainty forcing existing and potential broadcast and commercial partners to consider their investment into sport. Positively for the Football Money League clubs, the global pandemic has highlighted the importance of sport to communities and wider society, reinforcing its fundamental strengths and value to broadcasters and sponsors.” </w:t>
      </w:r>
    </w:p>
    <w:p w:rsidR="00792794" w:rsidRPr="00792794" w:rsidRDefault="00792794" w:rsidP="00792794">
      <w:pPr>
        <w:pStyle w:val="ListBullet"/>
        <w:numPr>
          <w:ilvl w:val="0"/>
          <w:numId w:val="0"/>
        </w:numPr>
        <w:rPr>
          <w:rFonts w:ascii="Calibri" w:hAnsi="Calibri" w:cs="Calibri"/>
          <w:color w:val="FF0000"/>
          <w:sz w:val="22"/>
          <w:szCs w:val="22"/>
          <w:highlight w:val="yellow"/>
          <w:lang w:val="en-GB"/>
        </w:rPr>
      </w:pPr>
    </w:p>
    <w:p w:rsidR="00792794" w:rsidRPr="00792794" w:rsidRDefault="00792794" w:rsidP="00792794">
      <w:pPr>
        <w:pStyle w:val="ListBullet"/>
        <w:numPr>
          <w:ilvl w:val="0"/>
          <w:numId w:val="0"/>
        </w:numPr>
        <w:jc w:val="center"/>
        <w:rPr>
          <w:rFonts w:ascii="Calibri" w:hAnsi="Calibri" w:cs="Calibri"/>
          <w:sz w:val="22"/>
          <w:szCs w:val="22"/>
          <w:lang w:val="en-GB"/>
        </w:rPr>
      </w:pPr>
      <w:r w:rsidRPr="00792794">
        <w:rPr>
          <w:rFonts w:ascii="Calibri" w:hAnsi="Calibri" w:cs="Calibri"/>
          <w:b/>
          <w:bCs/>
          <w:sz w:val="22"/>
          <w:szCs w:val="22"/>
          <w:lang w:val="en-GB"/>
        </w:rPr>
        <w:t>– ENDS –</w:t>
      </w:r>
    </w:p>
    <w:p w:rsidR="00792794" w:rsidRPr="00792794" w:rsidRDefault="00792794" w:rsidP="00792794">
      <w:pPr>
        <w:jc w:val="both"/>
        <w:rPr>
          <w:rFonts w:ascii="Calibri" w:hAnsi="Calibri" w:cs="Calibri"/>
          <w:b/>
          <w:bCs/>
          <w:sz w:val="22"/>
          <w:szCs w:val="22"/>
          <w:lang w:val="en-GB"/>
        </w:rPr>
      </w:pPr>
      <w:r w:rsidRPr="00792794">
        <w:rPr>
          <w:rFonts w:ascii="Calibri" w:hAnsi="Calibri" w:cs="Calibri"/>
          <w:b/>
          <w:bCs/>
          <w:sz w:val="22"/>
          <w:szCs w:val="22"/>
          <w:lang w:val="en-GB"/>
        </w:rPr>
        <w:t>Notes to editors:</w:t>
      </w:r>
    </w:p>
    <w:p w:rsidR="00792794" w:rsidRPr="00792794" w:rsidRDefault="00792794" w:rsidP="00792794">
      <w:pPr>
        <w:jc w:val="both"/>
        <w:rPr>
          <w:rFonts w:ascii="Calibri" w:hAnsi="Calibri" w:cs="Calibri"/>
          <w:sz w:val="22"/>
          <w:szCs w:val="22"/>
          <w:lang w:val="en-GB"/>
        </w:rPr>
      </w:pPr>
    </w:p>
    <w:p w:rsidR="00792794" w:rsidRPr="00792794" w:rsidRDefault="00792794" w:rsidP="00792794">
      <w:pPr>
        <w:rPr>
          <w:rStyle w:val="Hyperlink"/>
          <w:rFonts w:ascii="Calibri" w:hAnsi="Calibri" w:cs="Calibri"/>
          <w:sz w:val="22"/>
          <w:szCs w:val="22"/>
          <w:lang w:val="cs-CZ"/>
        </w:rPr>
      </w:pPr>
      <w:r w:rsidRPr="00792794">
        <w:rPr>
          <w:rFonts w:ascii="Calibri" w:hAnsi="Calibri" w:cs="Calibri"/>
          <w:sz w:val="22"/>
          <w:szCs w:val="22"/>
          <w:lang w:val="en-GB"/>
        </w:rPr>
        <w:t xml:space="preserve">To review the full findings of the </w:t>
      </w:r>
      <w:r w:rsidRPr="00792794">
        <w:rPr>
          <w:rFonts w:ascii="Calibri" w:hAnsi="Calibri" w:cs="Calibri"/>
          <w:i/>
          <w:iCs/>
          <w:sz w:val="22"/>
          <w:szCs w:val="22"/>
          <w:lang w:val="en-GB"/>
        </w:rPr>
        <w:t>Deloitte Football Money League</w:t>
      </w:r>
      <w:r w:rsidRPr="00792794">
        <w:rPr>
          <w:rFonts w:ascii="Calibri" w:hAnsi="Calibri" w:cs="Calibri"/>
          <w:sz w:val="22"/>
          <w:szCs w:val="22"/>
          <w:lang w:val="en-GB"/>
        </w:rPr>
        <w:t xml:space="preserve">, please visit: </w:t>
      </w:r>
    </w:p>
    <w:p w:rsidR="00792794" w:rsidRPr="00792794" w:rsidRDefault="00792794" w:rsidP="00792794">
      <w:pPr>
        <w:rPr>
          <w:rFonts w:ascii="Calibri" w:hAnsi="Calibri" w:cs="Calibri"/>
          <w:sz w:val="22"/>
          <w:szCs w:val="22"/>
        </w:rPr>
      </w:pPr>
      <w:hyperlink r:id="rId11" w:history="1">
        <w:r w:rsidRPr="00792794">
          <w:rPr>
            <w:rStyle w:val="Hyperlink"/>
            <w:rFonts w:ascii="Calibri" w:hAnsi="Calibri" w:cs="Calibri"/>
            <w:sz w:val="22"/>
            <w:szCs w:val="22"/>
            <w:lang w:val="en-GB"/>
          </w:rPr>
          <w:t>www.deloitte.co.uk/dfml</w:t>
        </w:r>
      </w:hyperlink>
      <w:r w:rsidRPr="00792794">
        <w:rPr>
          <w:rFonts w:ascii="Calibri" w:hAnsi="Calibri" w:cs="Calibri"/>
          <w:sz w:val="22"/>
          <w:szCs w:val="22"/>
          <w:lang w:val="en-GB"/>
        </w:rPr>
        <w:t>.</w:t>
      </w:r>
    </w:p>
    <w:p w:rsidR="00792794" w:rsidRPr="00792794" w:rsidRDefault="00792794" w:rsidP="00792794">
      <w:pPr>
        <w:rPr>
          <w:rFonts w:ascii="Calibri" w:hAnsi="Calibri" w:cs="Calibri"/>
          <w:sz w:val="22"/>
          <w:szCs w:val="22"/>
          <w:lang w:val="en-GB"/>
        </w:rPr>
      </w:pPr>
    </w:p>
    <w:p w:rsidR="00792794" w:rsidRPr="00792794" w:rsidRDefault="00792794" w:rsidP="00792794">
      <w:pPr>
        <w:pStyle w:val="ListBullet"/>
        <w:numPr>
          <w:ilvl w:val="0"/>
          <w:numId w:val="0"/>
        </w:numPr>
        <w:rPr>
          <w:rFonts w:ascii="Calibri" w:hAnsi="Calibri" w:cs="Calibri"/>
          <w:sz w:val="22"/>
          <w:szCs w:val="22"/>
          <w:lang w:val="en-GB"/>
        </w:rPr>
      </w:pPr>
      <w:r w:rsidRPr="00792794">
        <w:rPr>
          <w:rFonts w:ascii="Calibri" w:hAnsi="Calibri" w:cs="Calibri"/>
          <w:sz w:val="22"/>
          <w:szCs w:val="22"/>
          <w:lang w:val="en-GB"/>
        </w:rPr>
        <w:t>Governments around the world responded to the pandemic in different ways at different speeds and to different degrees, including enforcing national lockdowns, closing sports venues and stadia, and on the whole, at least initially, prohibiting sporting events. For those that did see the return of professional football, extended restrictions on mass gatherings and non-essential travel meant that in most cases fans were not able to attend matches, or where they were able to, in very limited numbers.</w:t>
      </w:r>
    </w:p>
    <w:p w:rsidR="00792794" w:rsidRPr="00792794" w:rsidRDefault="00792794" w:rsidP="00792794">
      <w:pPr>
        <w:pStyle w:val="ListBullet"/>
        <w:numPr>
          <w:ilvl w:val="0"/>
          <w:numId w:val="0"/>
        </w:numPr>
        <w:rPr>
          <w:rFonts w:ascii="Calibri" w:hAnsi="Calibri" w:cs="Calibri"/>
          <w:sz w:val="22"/>
          <w:szCs w:val="22"/>
          <w:lang w:val="en-GB"/>
        </w:rPr>
      </w:pPr>
    </w:p>
    <w:p w:rsidR="00792794" w:rsidRPr="00792794" w:rsidRDefault="00792794" w:rsidP="00792794">
      <w:pPr>
        <w:rPr>
          <w:rFonts w:ascii="Calibri" w:hAnsi="Calibri" w:cs="Calibri"/>
          <w:sz w:val="22"/>
          <w:szCs w:val="22"/>
          <w:lang w:val="en-GB"/>
        </w:rPr>
      </w:pPr>
      <w:r w:rsidRPr="00792794">
        <w:rPr>
          <w:rFonts w:ascii="Calibri" w:hAnsi="Calibri" w:cs="Calibri"/>
          <w:sz w:val="22"/>
          <w:szCs w:val="22"/>
          <w:lang w:val="en-GB"/>
        </w:rPr>
        <w:t xml:space="preserve">Leagues across the world also had different ways of adapting to the challenges faced. These varied from postponement to termination (with final standings determined using different methodologies) to others being annulled entirely. Each outcome had ramifications with broadcast and commercial partners alike, many of which sought rebates on rights fees as a result of changes to the delivery of the on-pitch product. </w:t>
      </w:r>
    </w:p>
    <w:p w:rsidR="00792794" w:rsidRPr="00792794" w:rsidRDefault="00792794" w:rsidP="00792794">
      <w:pPr>
        <w:rPr>
          <w:rFonts w:ascii="Calibri" w:hAnsi="Calibri" w:cs="Calibri"/>
          <w:sz w:val="22"/>
          <w:szCs w:val="22"/>
          <w:lang w:val="en-GB"/>
        </w:rPr>
      </w:pPr>
    </w:p>
    <w:p w:rsidR="00792794" w:rsidRPr="00792794" w:rsidRDefault="00792794" w:rsidP="00792794">
      <w:pPr>
        <w:rPr>
          <w:rFonts w:ascii="Calibri" w:hAnsi="Calibri" w:cs="Calibri"/>
          <w:b/>
          <w:bCs/>
          <w:sz w:val="22"/>
          <w:szCs w:val="22"/>
          <w:lang w:val="en-GB"/>
        </w:rPr>
      </w:pPr>
      <w:r w:rsidRPr="00792794">
        <w:rPr>
          <w:rFonts w:ascii="Calibri" w:hAnsi="Calibri" w:cs="Calibri"/>
          <w:sz w:val="22"/>
          <w:szCs w:val="22"/>
          <w:lang w:val="en-GB"/>
        </w:rPr>
        <w:t>The table below summarises the impact of COVID-19 on the 2019/20 seasonal calendar and broadcast rights across leagues that contain clubs in this year’s publication.</w:t>
      </w:r>
    </w:p>
    <w:p w:rsidR="00792794" w:rsidRPr="00792794" w:rsidRDefault="00792794" w:rsidP="00792794">
      <w:pPr>
        <w:rPr>
          <w:rFonts w:ascii="Calibri" w:hAnsi="Calibri" w:cs="Calibri"/>
          <w:b/>
          <w:bCs/>
          <w:sz w:val="22"/>
          <w:szCs w:val="22"/>
          <w:lang w:val="en-GB"/>
        </w:rPr>
      </w:pPr>
    </w:p>
    <w:tbl>
      <w:tblPr>
        <w:tblW w:w="9493" w:type="dxa"/>
        <w:tblCellMar>
          <w:left w:w="0" w:type="dxa"/>
          <w:right w:w="0" w:type="dxa"/>
        </w:tblCellMar>
        <w:tblLook w:val="04A0" w:firstRow="1" w:lastRow="0" w:firstColumn="1" w:lastColumn="0" w:noHBand="0" w:noVBand="1"/>
      </w:tblPr>
      <w:tblGrid>
        <w:gridCol w:w="1419"/>
        <w:gridCol w:w="1558"/>
        <w:gridCol w:w="1416"/>
        <w:gridCol w:w="1418"/>
        <w:gridCol w:w="3682"/>
      </w:tblGrid>
      <w:tr w:rsidR="00792794" w:rsidRPr="00792794" w:rsidTr="00792794">
        <w:tc>
          <w:tcPr>
            <w:tcW w:w="14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b/>
                <w:bCs/>
                <w:sz w:val="22"/>
                <w:szCs w:val="22"/>
                <w:lang w:val="cs-CZ"/>
              </w:rPr>
            </w:pPr>
            <w:r w:rsidRPr="00792794">
              <w:rPr>
                <w:rFonts w:ascii="Calibri" w:hAnsi="Calibri" w:cs="Calibri"/>
                <w:b/>
                <w:bCs/>
                <w:sz w:val="22"/>
                <w:szCs w:val="22"/>
              </w:rPr>
              <w:t>League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b/>
                <w:bCs/>
                <w:sz w:val="22"/>
                <w:szCs w:val="22"/>
              </w:rPr>
            </w:pPr>
            <w:r w:rsidRPr="00792794">
              <w:rPr>
                <w:rFonts w:ascii="Calibri" w:hAnsi="Calibri" w:cs="Calibri"/>
                <w:b/>
                <w:bCs/>
                <w:sz w:val="22"/>
                <w:szCs w:val="22"/>
              </w:rPr>
              <w:t>Date season postponed</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b/>
                <w:bCs/>
                <w:sz w:val="22"/>
                <w:szCs w:val="22"/>
              </w:rPr>
            </w:pPr>
            <w:r w:rsidRPr="00792794">
              <w:rPr>
                <w:rFonts w:ascii="Calibri" w:hAnsi="Calibri" w:cs="Calibri"/>
                <w:b/>
                <w:bCs/>
                <w:sz w:val="22"/>
                <w:szCs w:val="22"/>
              </w:rPr>
              <w:t>Date season resumed</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b/>
                <w:bCs/>
                <w:sz w:val="22"/>
                <w:szCs w:val="22"/>
              </w:rPr>
            </w:pPr>
            <w:r w:rsidRPr="00792794">
              <w:rPr>
                <w:rFonts w:ascii="Calibri" w:hAnsi="Calibri" w:cs="Calibri"/>
                <w:b/>
                <w:bCs/>
                <w:sz w:val="22"/>
                <w:szCs w:val="22"/>
              </w:rPr>
              <w:t>Date season completed</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b/>
                <w:bCs/>
                <w:sz w:val="22"/>
                <w:szCs w:val="22"/>
              </w:rPr>
            </w:pPr>
            <w:r w:rsidRPr="00792794">
              <w:rPr>
                <w:rFonts w:ascii="Calibri" w:hAnsi="Calibri" w:cs="Calibri"/>
                <w:b/>
                <w:bCs/>
                <w:sz w:val="22"/>
                <w:szCs w:val="22"/>
              </w:rPr>
              <w:t>Broadcast implications</w:t>
            </w:r>
          </w:p>
        </w:tc>
      </w:tr>
      <w:tr w:rsidR="00792794" w:rsidRPr="00792794" w:rsidTr="0079279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b/>
                <w:bCs/>
                <w:sz w:val="22"/>
                <w:szCs w:val="22"/>
              </w:rPr>
            </w:pPr>
            <w:r w:rsidRPr="00792794">
              <w:rPr>
                <w:rFonts w:ascii="Calibri" w:hAnsi="Calibri" w:cs="Calibri"/>
                <w:b/>
                <w:bCs/>
                <w:sz w:val="22"/>
                <w:szCs w:val="22"/>
              </w:rPr>
              <w:t>Premier League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Style w:val="A2"/>
                <w:rFonts w:ascii="Calibri" w:hAnsi="Calibri" w:cs="Calibri"/>
                <w:sz w:val="22"/>
                <w:szCs w:val="22"/>
              </w:rPr>
              <w:t>13 March 2020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17 June 2020 (behind closed doors)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26 July 2020</w:t>
            </w:r>
          </w:p>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(behind closed doors)</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 xml:space="preserve">Broadcast revenue for 2019/20 season </w:t>
            </w:r>
            <w:proofErr w:type="spellStart"/>
            <w:r w:rsidRPr="00792794">
              <w:rPr>
                <w:rFonts w:ascii="Calibri" w:hAnsi="Calibri" w:cs="Calibri"/>
                <w:sz w:val="22"/>
                <w:szCs w:val="22"/>
              </w:rPr>
              <w:t>recognised</w:t>
            </w:r>
            <w:proofErr w:type="spellEnd"/>
            <w:r w:rsidRPr="00792794">
              <w:rPr>
                <w:rFonts w:ascii="Calibri" w:hAnsi="Calibri" w:cs="Calibri"/>
                <w:sz w:val="22"/>
                <w:szCs w:val="22"/>
              </w:rPr>
              <w:t xml:space="preserve"> over two financial years. Rebates shared proportionately between clubs, with cash flow impact deferred over the remaining period of the rights cycle.</w:t>
            </w:r>
          </w:p>
        </w:tc>
      </w:tr>
      <w:tr w:rsidR="00792794" w:rsidRPr="00792794" w:rsidTr="0079279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b/>
                <w:bCs/>
                <w:sz w:val="22"/>
                <w:szCs w:val="22"/>
              </w:rPr>
            </w:pPr>
            <w:r w:rsidRPr="00792794">
              <w:rPr>
                <w:rFonts w:ascii="Calibri" w:hAnsi="Calibri" w:cs="Calibri"/>
                <w:b/>
                <w:bCs/>
                <w:sz w:val="22"/>
                <w:szCs w:val="22"/>
              </w:rPr>
              <w:t xml:space="preserve">La </w:t>
            </w:r>
            <w:proofErr w:type="spellStart"/>
            <w:r w:rsidRPr="00792794">
              <w:rPr>
                <w:rFonts w:ascii="Calibri" w:hAnsi="Calibri" w:cs="Calibri"/>
                <w:b/>
                <w:bCs/>
                <w:sz w:val="22"/>
                <w:szCs w:val="22"/>
              </w:rPr>
              <w:t>Liga</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12 March 2020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11 June 2020</w:t>
            </w:r>
          </w:p>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(behind closed doors)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19 July 2020</w:t>
            </w:r>
          </w:p>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(behind closed doors)</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 xml:space="preserve">Broadcast revenue for 2019/20 season </w:t>
            </w:r>
            <w:proofErr w:type="spellStart"/>
            <w:r w:rsidRPr="00792794">
              <w:rPr>
                <w:rFonts w:ascii="Calibri" w:hAnsi="Calibri" w:cs="Calibri"/>
                <w:sz w:val="22"/>
                <w:szCs w:val="22"/>
              </w:rPr>
              <w:t>recognised</w:t>
            </w:r>
            <w:proofErr w:type="spellEnd"/>
            <w:r w:rsidRPr="00792794">
              <w:rPr>
                <w:rFonts w:ascii="Calibri" w:hAnsi="Calibri" w:cs="Calibri"/>
                <w:sz w:val="22"/>
                <w:szCs w:val="22"/>
              </w:rPr>
              <w:t xml:space="preserve"> over two financial years. Rebates split between all clubs.</w:t>
            </w:r>
          </w:p>
        </w:tc>
      </w:tr>
      <w:tr w:rsidR="00792794" w:rsidRPr="00792794" w:rsidTr="0079279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b/>
                <w:bCs/>
                <w:sz w:val="22"/>
                <w:szCs w:val="22"/>
              </w:rPr>
            </w:pPr>
            <w:r w:rsidRPr="00792794">
              <w:rPr>
                <w:rFonts w:ascii="Calibri" w:hAnsi="Calibri" w:cs="Calibri"/>
                <w:b/>
                <w:bCs/>
                <w:sz w:val="22"/>
                <w:szCs w:val="22"/>
              </w:rPr>
              <w:t>Bundesliga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13 March 2020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16 May 2020</w:t>
            </w:r>
          </w:p>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(behind closed doors)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27 June 2020</w:t>
            </w:r>
          </w:p>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(behind closed doors)</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 xml:space="preserve">Broadcast revenue for 2019/20 season largely </w:t>
            </w:r>
            <w:proofErr w:type="spellStart"/>
            <w:r w:rsidRPr="00792794">
              <w:rPr>
                <w:rFonts w:ascii="Calibri" w:hAnsi="Calibri" w:cs="Calibri"/>
                <w:sz w:val="22"/>
                <w:szCs w:val="22"/>
              </w:rPr>
              <w:t>recognised</w:t>
            </w:r>
            <w:proofErr w:type="spellEnd"/>
            <w:r w:rsidRPr="00792794">
              <w:rPr>
                <w:rFonts w:ascii="Calibri" w:hAnsi="Calibri" w:cs="Calibri"/>
                <w:sz w:val="22"/>
                <w:szCs w:val="22"/>
              </w:rPr>
              <w:t xml:space="preserve"> in one financial year. Minimal rebates.</w:t>
            </w:r>
          </w:p>
        </w:tc>
      </w:tr>
      <w:tr w:rsidR="00792794" w:rsidRPr="00792794" w:rsidTr="0079279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b/>
                <w:bCs/>
                <w:sz w:val="22"/>
                <w:szCs w:val="22"/>
              </w:rPr>
            </w:pPr>
            <w:proofErr w:type="spellStart"/>
            <w:r w:rsidRPr="00792794">
              <w:rPr>
                <w:rFonts w:ascii="Calibri" w:hAnsi="Calibri" w:cs="Calibri"/>
                <w:b/>
                <w:bCs/>
                <w:sz w:val="22"/>
                <w:szCs w:val="22"/>
              </w:rPr>
              <w:t>Serie</w:t>
            </w:r>
            <w:proofErr w:type="spellEnd"/>
            <w:r w:rsidRPr="00792794">
              <w:rPr>
                <w:rFonts w:ascii="Calibri" w:hAnsi="Calibri" w:cs="Calibri"/>
                <w:b/>
                <w:bCs/>
                <w:sz w:val="22"/>
                <w:szCs w:val="22"/>
              </w:rPr>
              <w:t xml:space="preserve"> 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9 March 2020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20 June 2020</w:t>
            </w:r>
          </w:p>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(behind closed doors)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2 August 2020</w:t>
            </w:r>
          </w:p>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(behind closed doors)</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 xml:space="preserve">Broadcast revenue for 2019/20 season </w:t>
            </w:r>
            <w:proofErr w:type="spellStart"/>
            <w:r w:rsidRPr="00792794">
              <w:rPr>
                <w:rFonts w:ascii="Calibri" w:hAnsi="Calibri" w:cs="Calibri"/>
                <w:sz w:val="22"/>
                <w:szCs w:val="22"/>
              </w:rPr>
              <w:t>recognised</w:t>
            </w:r>
            <w:proofErr w:type="spellEnd"/>
            <w:r w:rsidRPr="00792794">
              <w:rPr>
                <w:rFonts w:ascii="Calibri" w:hAnsi="Calibri" w:cs="Calibri"/>
                <w:sz w:val="22"/>
                <w:szCs w:val="22"/>
              </w:rPr>
              <w:t xml:space="preserve"> over two financial years. Rebates to be determined.</w:t>
            </w:r>
          </w:p>
        </w:tc>
      </w:tr>
      <w:tr w:rsidR="00792794" w:rsidRPr="00792794" w:rsidTr="0079279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b/>
                <w:bCs/>
                <w:sz w:val="22"/>
                <w:szCs w:val="22"/>
              </w:rPr>
            </w:pPr>
            <w:proofErr w:type="spellStart"/>
            <w:r w:rsidRPr="00792794">
              <w:rPr>
                <w:rFonts w:ascii="Calibri" w:hAnsi="Calibri" w:cs="Calibri"/>
                <w:b/>
                <w:bCs/>
                <w:sz w:val="22"/>
                <w:szCs w:val="22"/>
              </w:rPr>
              <w:t>Ligue</w:t>
            </w:r>
            <w:proofErr w:type="spellEnd"/>
            <w:r w:rsidRPr="00792794">
              <w:rPr>
                <w:rFonts w:ascii="Calibri" w:hAnsi="Calibri" w:cs="Calibri"/>
                <w:b/>
                <w:bCs/>
                <w:sz w:val="22"/>
                <w:szCs w:val="22"/>
              </w:rPr>
              <w:t xml:space="preserve"> 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13 March 2020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Season cancelled 28 April 2020</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 xml:space="preserve">Broadcast revenue for 2019/20 season </w:t>
            </w:r>
            <w:proofErr w:type="spellStart"/>
            <w:r w:rsidRPr="00792794">
              <w:rPr>
                <w:rFonts w:ascii="Calibri" w:hAnsi="Calibri" w:cs="Calibri"/>
                <w:sz w:val="22"/>
                <w:szCs w:val="22"/>
              </w:rPr>
              <w:t>recognised</w:t>
            </w:r>
            <w:proofErr w:type="spellEnd"/>
            <w:r w:rsidRPr="00792794">
              <w:rPr>
                <w:rFonts w:ascii="Calibri" w:hAnsi="Calibri" w:cs="Calibri"/>
                <w:sz w:val="22"/>
                <w:szCs w:val="22"/>
              </w:rPr>
              <w:t xml:space="preserve"> in one financial year. Rebates split between all clubs. LFP secured government guaranteed loans make up for the shortfall in distributions to clubs.</w:t>
            </w:r>
          </w:p>
        </w:tc>
      </w:tr>
      <w:tr w:rsidR="00792794" w:rsidRPr="00792794" w:rsidTr="0079279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b/>
                <w:bCs/>
                <w:sz w:val="22"/>
                <w:szCs w:val="22"/>
              </w:rPr>
            </w:pPr>
            <w:r w:rsidRPr="00792794">
              <w:rPr>
                <w:rFonts w:ascii="Calibri" w:hAnsi="Calibri" w:cs="Calibri"/>
                <w:b/>
                <w:bCs/>
                <w:sz w:val="22"/>
                <w:szCs w:val="22"/>
              </w:rPr>
              <w:t>Russian Premier League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17 March 2020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19 June 2020 (c.10% capacity)</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22 July 2020</w:t>
            </w:r>
          </w:p>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(c.10% capacity)</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 xml:space="preserve">Broadcast revenue for 2019/20 season </w:t>
            </w:r>
            <w:proofErr w:type="spellStart"/>
            <w:r w:rsidRPr="00792794">
              <w:rPr>
                <w:rFonts w:ascii="Calibri" w:hAnsi="Calibri" w:cs="Calibri"/>
                <w:sz w:val="22"/>
                <w:szCs w:val="22"/>
              </w:rPr>
              <w:t>recognised</w:t>
            </w:r>
            <w:proofErr w:type="spellEnd"/>
            <w:r w:rsidRPr="00792794">
              <w:rPr>
                <w:rFonts w:ascii="Calibri" w:hAnsi="Calibri" w:cs="Calibri"/>
                <w:sz w:val="22"/>
                <w:szCs w:val="22"/>
              </w:rPr>
              <w:t xml:space="preserve"> over two financial years.</w:t>
            </w:r>
          </w:p>
        </w:tc>
      </w:tr>
      <w:tr w:rsidR="00792794" w:rsidRPr="00792794" w:rsidTr="0079279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b/>
                <w:bCs/>
                <w:sz w:val="22"/>
                <w:szCs w:val="22"/>
              </w:rPr>
            </w:pPr>
            <w:r w:rsidRPr="00792794">
              <w:rPr>
                <w:rFonts w:ascii="Calibri" w:hAnsi="Calibri" w:cs="Calibri"/>
                <w:b/>
                <w:bCs/>
                <w:sz w:val="22"/>
                <w:szCs w:val="22"/>
              </w:rPr>
              <w:t>UEFA club competitions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Mid-March (part way through the Round of 16)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7 August (behind closed doors)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23 August 2020 (behind closed doors)</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792794" w:rsidRPr="00792794" w:rsidRDefault="00792794" w:rsidP="00792794">
            <w:pPr>
              <w:spacing w:line="252" w:lineRule="auto"/>
              <w:rPr>
                <w:rFonts w:ascii="Calibri" w:hAnsi="Calibri" w:cs="Calibri"/>
                <w:sz w:val="22"/>
                <w:szCs w:val="22"/>
              </w:rPr>
            </w:pPr>
            <w:r w:rsidRPr="00792794">
              <w:rPr>
                <w:rFonts w:ascii="Calibri" w:hAnsi="Calibri" w:cs="Calibri"/>
                <w:sz w:val="22"/>
                <w:szCs w:val="22"/>
              </w:rPr>
              <w:t xml:space="preserve">Broadcast revenue largely </w:t>
            </w:r>
            <w:proofErr w:type="spellStart"/>
            <w:r w:rsidRPr="00792794">
              <w:rPr>
                <w:rFonts w:ascii="Calibri" w:hAnsi="Calibri" w:cs="Calibri"/>
                <w:sz w:val="22"/>
                <w:szCs w:val="22"/>
              </w:rPr>
              <w:t>recognised</w:t>
            </w:r>
            <w:proofErr w:type="spellEnd"/>
            <w:r w:rsidRPr="00792794">
              <w:rPr>
                <w:rFonts w:ascii="Calibri" w:hAnsi="Calibri" w:cs="Calibri"/>
                <w:sz w:val="22"/>
                <w:szCs w:val="22"/>
              </w:rPr>
              <w:t xml:space="preserve"> in one financial year for clubs knocked out of 2019/20 competitions prior to postponement and over two financial years for those competing after the postponement.</w:t>
            </w:r>
          </w:p>
        </w:tc>
      </w:tr>
    </w:tbl>
    <w:p w:rsidR="00792794" w:rsidRPr="00792794" w:rsidRDefault="00792794" w:rsidP="00792794">
      <w:pPr>
        <w:rPr>
          <w:rFonts w:ascii="Calibri" w:eastAsiaTheme="minorHAnsi" w:hAnsi="Calibri" w:cs="Calibri"/>
          <w:b/>
          <w:bCs/>
          <w:sz w:val="22"/>
          <w:szCs w:val="22"/>
          <w:lang w:val="en-GB"/>
        </w:rPr>
      </w:pPr>
    </w:p>
    <w:p w:rsidR="00792794" w:rsidRPr="00792794" w:rsidRDefault="00792794" w:rsidP="00792794">
      <w:pPr>
        <w:rPr>
          <w:rFonts w:ascii="Calibri" w:hAnsi="Calibri" w:cs="Calibri"/>
          <w:b/>
          <w:bCs/>
          <w:sz w:val="22"/>
          <w:szCs w:val="22"/>
          <w:lang w:val="en-GB"/>
        </w:rPr>
      </w:pPr>
    </w:p>
    <w:p w:rsidR="00792794" w:rsidRPr="00792794" w:rsidRDefault="00792794" w:rsidP="00792794">
      <w:pPr>
        <w:rPr>
          <w:rFonts w:ascii="Calibri" w:hAnsi="Calibri" w:cs="Calibri"/>
          <w:sz w:val="22"/>
          <w:szCs w:val="22"/>
          <w:lang w:val="en-GB" w:eastAsia="en-GB"/>
        </w:rPr>
      </w:pPr>
      <w:r w:rsidRPr="00792794">
        <w:rPr>
          <w:rFonts w:ascii="Calibri" w:hAnsi="Calibri" w:cs="Calibri"/>
          <w:sz w:val="22"/>
          <w:szCs w:val="22"/>
          <w:lang w:val="en-GB"/>
        </w:rPr>
        <w:t xml:space="preserve">Negotiations are ongoing with broadcasters in respect of the disrupted 2019/20 season, however, broadcast rebates currently total almost €600m across some of the biggest leagues, including the Premier League (reportedly up to c.£330m / c.€376m), La </w:t>
      </w:r>
      <w:proofErr w:type="spellStart"/>
      <w:r w:rsidRPr="00792794">
        <w:rPr>
          <w:rFonts w:ascii="Calibri" w:hAnsi="Calibri" w:cs="Calibri"/>
          <w:sz w:val="22"/>
          <w:szCs w:val="22"/>
          <w:lang w:val="en-GB"/>
        </w:rPr>
        <w:t>Liga</w:t>
      </w:r>
      <w:proofErr w:type="spellEnd"/>
      <w:r w:rsidRPr="00792794">
        <w:rPr>
          <w:rFonts w:ascii="Calibri" w:hAnsi="Calibri" w:cs="Calibri"/>
          <w:sz w:val="22"/>
          <w:szCs w:val="22"/>
          <w:lang w:val="en-GB"/>
        </w:rPr>
        <w:t xml:space="preserve"> (c.€100m) and </w:t>
      </w:r>
      <w:proofErr w:type="spellStart"/>
      <w:r w:rsidRPr="00792794">
        <w:rPr>
          <w:rFonts w:ascii="Calibri" w:hAnsi="Calibri" w:cs="Calibri"/>
          <w:sz w:val="22"/>
          <w:szCs w:val="22"/>
          <w:lang w:val="en-GB"/>
        </w:rPr>
        <w:t>Ligue</w:t>
      </w:r>
      <w:proofErr w:type="spellEnd"/>
      <w:r w:rsidRPr="00792794">
        <w:rPr>
          <w:rFonts w:ascii="Calibri" w:hAnsi="Calibri" w:cs="Calibri"/>
          <w:sz w:val="22"/>
          <w:szCs w:val="22"/>
          <w:lang w:val="en-GB"/>
        </w:rPr>
        <w:t xml:space="preserve"> 1 (c.€123m) as well as a reported €575m rebate to UEFA broadcasters. The result of the </w:t>
      </w:r>
      <w:proofErr w:type="spellStart"/>
      <w:r w:rsidRPr="00792794">
        <w:rPr>
          <w:rFonts w:ascii="Calibri" w:hAnsi="Calibri" w:cs="Calibri"/>
          <w:sz w:val="22"/>
          <w:szCs w:val="22"/>
          <w:lang w:val="en-GB"/>
        </w:rPr>
        <w:t>Serie</w:t>
      </w:r>
      <w:proofErr w:type="spellEnd"/>
      <w:r w:rsidRPr="00792794">
        <w:rPr>
          <w:rFonts w:ascii="Calibri" w:hAnsi="Calibri" w:cs="Calibri"/>
          <w:sz w:val="22"/>
          <w:szCs w:val="22"/>
          <w:lang w:val="en-GB"/>
        </w:rPr>
        <w:t xml:space="preserve"> A court ruling regarding Sky Italia’s withholding of a final €130m instalment for the 2019/20 season is yet to be determined. </w:t>
      </w:r>
    </w:p>
    <w:p w:rsidR="00792794" w:rsidRPr="00792794" w:rsidRDefault="00792794" w:rsidP="00792794">
      <w:pPr>
        <w:rPr>
          <w:rFonts w:ascii="Calibri" w:hAnsi="Calibri" w:cs="Calibri"/>
          <w:b/>
          <w:bCs/>
          <w:sz w:val="22"/>
          <w:szCs w:val="22"/>
          <w:lang w:val="en-GB"/>
        </w:rPr>
      </w:pPr>
    </w:p>
    <w:p w:rsidR="00792794" w:rsidRPr="00792794" w:rsidRDefault="00792794" w:rsidP="00792794">
      <w:pPr>
        <w:rPr>
          <w:rFonts w:ascii="Calibri" w:hAnsi="Calibri" w:cs="Calibri"/>
          <w:sz w:val="22"/>
          <w:szCs w:val="22"/>
          <w:lang w:val="en-GB"/>
        </w:rPr>
      </w:pPr>
      <w:r w:rsidRPr="00792794">
        <w:rPr>
          <w:rFonts w:ascii="Calibri" w:hAnsi="Calibri" w:cs="Calibri"/>
          <w:sz w:val="22"/>
          <w:szCs w:val="22"/>
          <w:lang w:val="en-GB"/>
        </w:rPr>
        <w:t xml:space="preserve">A substantial proportion of broadcast revenue has been deferred into the 2020/21 financial year reflecting the extended 2019/20 season spanning two financial years. This means that the next edition of the Money League is likely to be a “bumper year” for broadcast revenue – assuming no further disruption and delay – as clubs also recognise a full-season of 2020/21 broadcast distributions. On the other hand, </w:t>
      </w:r>
      <w:proofErr w:type="spellStart"/>
      <w:r w:rsidRPr="00792794">
        <w:rPr>
          <w:rFonts w:ascii="Calibri" w:hAnsi="Calibri" w:cs="Calibri"/>
          <w:sz w:val="22"/>
          <w:szCs w:val="22"/>
          <w:lang w:val="en-GB"/>
        </w:rPr>
        <w:t>matchday</w:t>
      </w:r>
      <w:proofErr w:type="spellEnd"/>
      <w:r w:rsidRPr="00792794">
        <w:rPr>
          <w:rFonts w:ascii="Calibri" w:hAnsi="Calibri" w:cs="Calibri"/>
          <w:sz w:val="22"/>
          <w:szCs w:val="22"/>
          <w:lang w:val="en-GB"/>
        </w:rPr>
        <w:t xml:space="preserve"> revenue will likely be near to nil for the whole 2020/21 season and financial year after having only been reduced for a comparatively small portion of the 2019/20 season and financial year.</w:t>
      </w:r>
    </w:p>
    <w:p w:rsidR="00792794" w:rsidRPr="00792794" w:rsidRDefault="00792794" w:rsidP="00792794">
      <w:pPr>
        <w:rPr>
          <w:rFonts w:ascii="Calibri" w:hAnsi="Calibri" w:cs="Calibri"/>
          <w:sz w:val="22"/>
          <w:szCs w:val="22"/>
          <w:lang w:val="en-GB"/>
        </w:rPr>
      </w:pPr>
    </w:p>
    <w:tbl>
      <w:tblPr>
        <w:tblW w:w="9475" w:type="dxa"/>
        <w:tblCellMar>
          <w:left w:w="0" w:type="dxa"/>
          <w:right w:w="0" w:type="dxa"/>
        </w:tblCellMar>
        <w:tblLook w:val="04A0" w:firstRow="1" w:lastRow="0" w:firstColumn="1" w:lastColumn="0" w:noHBand="0" w:noVBand="1"/>
      </w:tblPr>
      <w:tblGrid>
        <w:gridCol w:w="1368"/>
        <w:gridCol w:w="2764"/>
        <w:gridCol w:w="1781"/>
        <w:gridCol w:w="1781"/>
        <w:gridCol w:w="1781"/>
      </w:tblGrid>
      <w:tr w:rsidR="00792794" w:rsidRPr="00792794" w:rsidTr="00792794">
        <w:trPr>
          <w:trHeight w:val="557"/>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b/>
                <w:bCs/>
                <w:color w:val="000000"/>
                <w:sz w:val="22"/>
                <w:szCs w:val="22"/>
                <w:lang w:val="cs-CZ"/>
              </w:rPr>
            </w:pPr>
            <w:r w:rsidRPr="00792794">
              <w:rPr>
                <w:rFonts w:ascii="Calibri" w:hAnsi="Calibri" w:cs="Calibri"/>
                <w:b/>
                <w:bCs/>
                <w:color w:val="000000"/>
                <w:sz w:val="22"/>
                <w:szCs w:val="22"/>
              </w:rPr>
              <w:t>Position (last year’s position)</w:t>
            </w:r>
          </w:p>
        </w:tc>
        <w:tc>
          <w:tcPr>
            <w:tcW w:w="27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b/>
                <w:bCs/>
                <w:color w:val="000000"/>
                <w:sz w:val="22"/>
                <w:szCs w:val="22"/>
              </w:rPr>
            </w:pPr>
            <w:r w:rsidRPr="00792794">
              <w:rPr>
                <w:rFonts w:ascii="Calibri" w:hAnsi="Calibri" w:cs="Calibri"/>
                <w:b/>
                <w:bCs/>
                <w:color w:val="000000"/>
                <w:sz w:val="22"/>
                <w:szCs w:val="22"/>
              </w:rPr>
              <w:t>Club</w:t>
            </w:r>
          </w:p>
        </w:tc>
        <w:tc>
          <w:tcPr>
            <w:tcW w:w="17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b/>
                <w:bCs/>
                <w:color w:val="000000"/>
                <w:sz w:val="22"/>
                <w:szCs w:val="22"/>
              </w:rPr>
            </w:pPr>
            <w:r w:rsidRPr="00792794">
              <w:rPr>
                <w:rFonts w:ascii="Calibri" w:hAnsi="Calibri" w:cs="Calibri"/>
                <w:b/>
                <w:bCs/>
                <w:color w:val="000000"/>
                <w:sz w:val="22"/>
                <w:szCs w:val="22"/>
              </w:rPr>
              <w:t>2019/20 Revenue (€m) (2018/19 Revenue)</w:t>
            </w:r>
          </w:p>
        </w:tc>
        <w:tc>
          <w:tcPr>
            <w:tcW w:w="17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b/>
                <w:bCs/>
                <w:color w:val="000000"/>
                <w:sz w:val="22"/>
                <w:szCs w:val="22"/>
              </w:rPr>
            </w:pPr>
            <w:r w:rsidRPr="00792794">
              <w:rPr>
                <w:rFonts w:ascii="Calibri" w:hAnsi="Calibri" w:cs="Calibri"/>
                <w:b/>
                <w:bCs/>
                <w:color w:val="000000"/>
                <w:sz w:val="22"/>
                <w:szCs w:val="22"/>
              </w:rPr>
              <w:t>2019/20 Revenue (£m) (2018/19 Revenue)</w:t>
            </w:r>
          </w:p>
        </w:tc>
        <w:tc>
          <w:tcPr>
            <w:tcW w:w="17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b/>
                <w:bCs/>
                <w:color w:val="000000"/>
                <w:sz w:val="22"/>
                <w:szCs w:val="22"/>
              </w:rPr>
            </w:pPr>
            <w:r w:rsidRPr="00792794">
              <w:rPr>
                <w:rFonts w:ascii="Calibri" w:hAnsi="Calibri" w:cs="Calibri"/>
                <w:b/>
                <w:bCs/>
                <w:color w:val="000000"/>
                <w:sz w:val="22"/>
                <w:szCs w:val="22"/>
              </w:rPr>
              <w:t>2019/20 Revenue ($m) (2018/19 Revenue)</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 (1)</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FC Barcelona</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715.1 (840.8)</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627.1 (741.1)</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790.5 (959.3)</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2 (2)</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Real Madrid</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714.9 (757.3)</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627 (667.5)</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790.3 (864)</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3 (4)</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Bayern Munich</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634.1 (660.1)</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556.1 (581.8)</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701 (753.1)</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4 (3)</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Manchester United</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580.4 (711.5)</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509 (627.1)</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641.6 (811.7)</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5 (7)</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Liverpool</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558.6 (604.7)</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489.9 (533)</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617.5 (689.9)</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6 (6)</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Manchester City</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549.2 (610.6)</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481.6 (538.2)</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607 (696.6)</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7 (5)</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Paris Saint-Germain</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540.6 (635.9)</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474.1 (560.5)</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597.6 (725.5)</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8 (9)</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Chelsea</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469.7 (513.1)</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411.9 (452.2)</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519.2 (585.3)</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9 (8)</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proofErr w:type="spellStart"/>
            <w:r w:rsidRPr="00792794">
              <w:rPr>
                <w:rFonts w:ascii="Calibri" w:hAnsi="Calibri" w:cs="Calibri"/>
                <w:color w:val="000000"/>
                <w:sz w:val="22"/>
                <w:szCs w:val="22"/>
              </w:rPr>
              <w:t>Tottenham</w:t>
            </w:r>
            <w:proofErr w:type="spellEnd"/>
            <w:r w:rsidRPr="00792794">
              <w:rPr>
                <w:rFonts w:ascii="Calibri" w:hAnsi="Calibri" w:cs="Calibri"/>
                <w:color w:val="000000"/>
                <w:sz w:val="22"/>
                <w:szCs w:val="22"/>
              </w:rPr>
              <w:t xml:space="preserve"> Hotspur</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445.7 (521.1)</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390.9 (459.3)</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492.7 (594.5)</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10 (10)</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Juventus</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397.9 (459.7)</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349 (405.2)</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439.9 (524.5)</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11 (11)</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Arsenal</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388 (445.2)</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340.3 (392.4)</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428.9 (507.9)</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12 (12)</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Borussia Dortmund</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365.7 (371.7)</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320.7 (327.6)</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404.3 (424.1)</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13 (13)</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proofErr w:type="spellStart"/>
            <w:r w:rsidRPr="00792794">
              <w:rPr>
                <w:rFonts w:ascii="Calibri" w:hAnsi="Calibri" w:cs="Calibri"/>
                <w:color w:val="000000"/>
                <w:sz w:val="22"/>
                <w:szCs w:val="22"/>
              </w:rPr>
              <w:t>Atlético</w:t>
            </w:r>
            <w:proofErr w:type="spellEnd"/>
            <w:r w:rsidRPr="00792794">
              <w:rPr>
                <w:rFonts w:ascii="Calibri" w:hAnsi="Calibri" w:cs="Calibri"/>
                <w:color w:val="000000"/>
                <w:sz w:val="22"/>
                <w:szCs w:val="22"/>
              </w:rPr>
              <w:t xml:space="preserve"> de Madrid</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331.8 (367.6)</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291 (324)</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366.8 (419.4)</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14 (14)</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proofErr w:type="spellStart"/>
            <w:r w:rsidRPr="00792794">
              <w:rPr>
                <w:rFonts w:ascii="Calibri" w:hAnsi="Calibri" w:cs="Calibri"/>
                <w:color w:val="000000"/>
                <w:sz w:val="22"/>
                <w:szCs w:val="22"/>
              </w:rPr>
              <w:t>Internazionale</w:t>
            </w:r>
            <w:proofErr w:type="spellEnd"/>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291.5 (364.6)</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255.6 (321.3)</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322.2 (416)</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15 (28)</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 xml:space="preserve">FC </w:t>
            </w:r>
            <w:proofErr w:type="spellStart"/>
            <w:r w:rsidRPr="00792794">
              <w:rPr>
                <w:rFonts w:ascii="Calibri" w:hAnsi="Calibri" w:cs="Calibri"/>
                <w:color w:val="000000"/>
                <w:sz w:val="22"/>
                <w:szCs w:val="22"/>
              </w:rPr>
              <w:t>Zenit</w:t>
            </w:r>
            <w:proofErr w:type="spellEnd"/>
            <w:r w:rsidRPr="00792794">
              <w:rPr>
                <w:rFonts w:ascii="Calibri" w:hAnsi="Calibri" w:cs="Calibri"/>
                <w:color w:val="000000"/>
                <w:sz w:val="22"/>
                <w:szCs w:val="22"/>
              </w:rPr>
              <w:t xml:space="preserve"> </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236.5 (180.4)</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207.4 (159)</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261.4 (205.8)</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16 (15)</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proofErr w:type="spellStart"/>
            <w:r w:rsidRPr="00792794">
              <w:rPr>
                <w:rFonts w:ascii="Calibri" w:hAnsi="Calibri" w:cs="Calibri"/>
                <w:color w:val="000000"/>
                <w:sz w:val="22"/>
                <w:szCs w:val="22"/>
              </w:rPr>
              <w:t>Schalke</w:t>
            </w:r>
            <w:proofErr w:type="spellEnd"/>
            <w:r w:rsidRPr="00792794">
              <w:rPr>
                <w:rFonts w:ascii="Calibri" w:hAnsi="Calibri" w:cs="Calibri"/>
                <w:color w:val="000000"/>
                <w:sz w:val="22"/>
                <w:szCs w:val="22"/>
              </w:rPr>
              <w:t xml:space="preserve"> 04</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222.8 (324.8)</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195.4 (286.3)</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246.3 (370.6)</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17 (19)</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Everton</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212 (210.5)</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185.9 (185.5)</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234.3 (240.1)</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18 (17)</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proofErr w:type="spellStart"/>
            <w:r w:rsidRPr="00792794">
              <w:rPr>
                <w:rFonts w:ascii="Calibri" w:hAnsi="Calibri" w:cs="Calibri"/>
                <w:color w:val="000000"/>
                <w:sz w:val="22"/>
                <w:szCs w:val="22"/>
              </w:rPr>
              <w:t>Olympique</w:t>
            </w:r>
            <w:proofErr w:type="spellEnd"/>
            <w:r w:rsidRPr="00792794">
              <w:rPr>
                <w:rFonts w:ascii="Calibri" w:hAnsi="Calibri" w:cs="Calibri"/>
                <w:color w:val="000000"/>
                <w:sz w:val="22"/>
                <w:szCs w:val="22"/>
              </w:rPr>
              <w:t xml:space="preserve"> Lyonnais</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180.7 (220.9)</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158.5 (194.7)</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199.8 (252)</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19 (20)</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Napoli</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176.3 (207.4)</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154.6 (182.8)</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194.9 (236.6)</w:t>
            </w:r>
          </w:p>
        </w:tc>
      </w:tr>
      <w:tr w:rsidR="00792794" w:rsidRPr="00792794" w:rsidTr="00792794">
        <w:trPr>
          <w:trHeight w:val="328"/>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20 (27)</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proofErr w:type="spellStart"/>
            <w:r w:rsidRPr="00792794">
              <w:rPr>
                <w:rFonts w:ascii="Calibri" w:hAnsi="Calibri" w:cs="Calibri"/>
                <w:color w:val="000000"/>
                <w:sz w:val="22"/>
                <w:szCs w:val="22"/>
              </w:rPr>
              <w:t>Eintracht</w:t>
            </w:r>
            <w:proofErr w:type="spellEnd"/>
            <w:r w:rsidRPr="00792794">
              <w:rPr>
                <w:rFonts w:ascii="Calibri" w:hAnsi="Calibri" w:cs="Calibri"/>
                <w:color w:val="000000"/>
                <w:sz w:val="22"/>
                <w:szCs w:val="22"/>
              </w:rPr>
              <w:t xml:space="preserve"> Frankfurt</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174 (182.2)</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152.6 (160.6)</w:t>
            </w:r>
          </w:p>
        </w:tc>
        <w:tc>
          <w:tcPr>
            <w:tcW w:w="1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794" w:rsidRPr="00792794" w:rsidRDefault="00792794" w:rsidP="00792794">
            <w:pPr>
              <w:spacing w:line="252" w:lineRule="auto"/>
              <w:jc w:val="center"/>
              <w:rPr>
                <w:rFonts w:ascii="Calibri" w:hAnsi="Calibri" w:cs="Calibri"/>
                <w:color w:val="000000"/>
                <w:sz w:val="22"/>
                <w:szCs w:val="22"/>
              </w:rPr>
            </w:pPr>
            <w:r w:rsidRPr="00792794">
              <w:rPr>
                <w:rFonts w:ascii="Calibri" w:hAnsi="Calibri" w:cs="Calibri"/>
                <w:color w:val="000000"/>
                <w:sz w:val="22"/>
                <w:szCs w:val="22"/>
              </w:rPr>
              <w:t>192.4 (207.9)</w:t>
            </w:r>
          </w:p>
        </w:tc>
      </w:tr>
    </w:tbl>
    <w:p w:rsidR="00792794" w:rsidRPr="00792794" w:rsidRDefault="00792794" w:rsidP="00792794">
      <w:pPr>
        <w:jc w:val="both"/>
        <w:rPr>
          <w:rFonts w:ascii="Calibri" w:eastAsiaTheme="minorHAnsi" w:hAnsi="Calibri" w:cs="Calibri"/>
          <w:b/>
          <w:bCs/>
          <w:sz w:val="22"/>
          <w:szCs w:val="22"/>
          <w:lang w:val="en-GB"/>
        </w:rPr>
      </w:pPr>
    </w:p>
    <w:p w:rsidR="00792794" w:rsidRPr="00792794" w:rsidRDefault="00792794" w:rsidP="00792794">
      <w:pPr>
        <w:rPr>
          <w:rFonts w:ascii="Calibri" w:hAnsi="Calibri" w:cs="Calibri"/>
          <w:sz w:val="22"/>
          <w:szCs w:val="22"/>
          <w:lang w:val="en-GB"/>
        </w:rPr>
      </w:pPr>
      <w:r w:rsidRPr="00792794">
        <w:rPr>
          <w:rFonts w:ascii="Calibri" w:hAnsi="Calibri" w:cs="Calibri"/>
          <w:sz w:val="22"/>
          <w:szCs w:val="22"/>
          <w:lang w:val="en-GB"/>
        </w:rPr>
        <w:t xml:space="preserve">This press release is based on the </w:t>
      </w:r>
      <w:r w:rsidRPr="00792794">
        <w:rPr>
          <w:rFonts w:ascii="Calibri" w:hAnsi="Calibri" w:cs="Calibri"/>
          <w:i/>
          <w:iCs/>
          <w:sz w:val="22"/>
          <w:szCs w:val="22"/>
          <w:lang w:val="en-GB"/>
        </w:rPr>
        <w:t>Deloitte Football Money League</w:t>
      </w:r>
      <w:r w:rsidRPr="00792794">
        <w:rPr>
          <w:rFonts w:ascii="Calibri" w:hAnsi="Calibri" w:cs="Calibri"/>
          <w:sz w:val="22"/>
          <w:szCs w:val="22"/>
          <w:lang w:val="en-GB"/>
        </w:rPr>
        <w:t xml:space="preserve"> published in January 2021. As explained further in the publication, the revenue figures are extracted from the annual financial statements of the company or group in respect of each club, or other direct sources, for the financial year ending in 2020, which covered the majority of the 2019/20 football season. For some clubs the extension of the 2019/20 season will result in a proportion of revenue relating to the 2019/20 season instead being recognised in the annual financial statements of the company or group in respect of each club for the financial year ending in 2021. For the avoidance of doubt, we have not made any adjustments to reflect all revenue in respect of the 2019/20 season in the financial year ending in 2020.</w:t>
      </w:r>
    </w:p>
    <w:p w:rsidR="00792794" w:rsidRPr="00792794" w:rsidRDefault="00792794" w:rsidP="00792794">
      <w:pPr>
        <w:rPr>
          <w:rFonts w:ascii="Calibri" w:hAnsi="Calibri" w:cs="Calibri"/>
          <w:sz w:val="22"/>
          <w:szCs w:val="22"/>
          <w:lang w:val="en-GB" w:eastAsia="en-GB"/>
        </w:rPr>
      </w:pPr>
    </w:p>
    <w:p w:rsidR="00792794" w:rsidRPr="00792794" w:rsidRDefault="00792794" w:rsidP="00792794">
      <w:pPr>
        <w:rPr>
          <w:rFonts w:ascii="Calibri" w:hAnsi="Calibri" w:cs="Calibri"/>
          <w:sz w:val="22"/>
          <w:szCs w:val="22"/>
          <w:lang w:val="en-GB"/>
        </w:rPr>
      </w:pPr>
      <w:r w:rsidRPr="00792794">
        <w:rPr>
          <w:rFonts w:ascii="Calibri" w:hAnsi="Calibri" w:cs="Calibri"/>
          <w:sz w:val="22"/>
          <w:szCs w:val="22"/>
          <w:lang w:val="en-GB"/>
        </w:rPr>
        <w:t xml:space="preserve">There are many ways of examining the relative wealth or value of football clubs. For the </w:t>
      </w:r>
      <w:r w:rsidRPr="00792794">
        <w:rPr>
          <w:rFonts w:ascii="Calibri" w:hAnsi="Calibri" w:cs="Calibri"/>
          <w:i/>
          <w:iCs/>
          <w:sz w:val="22"/>
          <w:szCs w:val="22"/>
          <w:lang w:val="en-GB"/>
        </w:rPr>
        <w:t>Deloitte Football Money League</w:t>
      </w:r>
      <w:r w:rsidRPr="00792794">
        <w:rPr>
          <w:rFonts w:ascii="Calibri" w:hAnsi="Calibri" w:cs="Calibri"/>
          <w:sz w:val="22"/>
          <w:szCs w:val="22"/>
          <w:lang w:val="en-GB"/>
        </w:rPr>
        <w:t xml:space="preserve">, revenue has been used as the most easily available and comparable measure of financial performance.  </w:t>
      </w:r>
    </w:p>
    <w:p w:rsidR="00792794" w:rsidRPr="00792794" w:rsidRDefault="00792794" w:rsidP="00792794">
      <w:pPr>
        <w:rPr>
          <w:rFonts w:ascii="Calibri" w:hAnsi="Calibri" w:cs="Calibri"/>
          <w:sz w:val="22"/>
          <w:szCs w:val="22"/>
          <w:lang w:val="en-GB"/>
        </w:rPr>
      </w:pPr>
    </w:p>
    <w:p w:rsidR="00792794" w:rsidRPr="00792794" w:rsidRDefault="00792794" w:rsidP="00792794">
      <w:pPr>
        <w:rPr>
          <w:rFonts w:ascii="Calibri" w:hAnsi="Calibri" w:cs="Calibri"/>
          <w:sz w:val="22"/>
          <w:szCs w:val="22"/>
          <w:lang w:val="en-GB"/>
        </w:rPr>
      </w:pPr>
      <w:r w:rsidRPr="00792794">
        <w:rPr>
          <w:rFonts w:ascii="Calibri" w:hAnsi="Calibri" w:cs="Calibri"/>
          <w:sz w:val="22"/>
          <w:szCs w:val="22"/>
          <w:lang w:val="en-GB"/>
        </w:rPr>
        <w:t xml:space="preserve">Revenue excludes player transfer fees, VAT and other sales related taxes. In a few cases we have made adjustments to total revenue figures to enable, in our view, a more meaningful comparison of the football business on a club-by-club basis.  </w:t>
      </w:r>
    </w:p>
    <w:p w:rsidR="00792794" w:rsidRPr="00792794" w:rsidRDefault="00792794" w:rsidP="00792794">
      <w:pPr>
        <w:rPr>
          <w:rFonts w:ascii="Calibri" w:hAnsi="Calibri" w:cs="Calibri"/>
          <w:sz w:val="22"/>
          <w:szCs w:val="22"/>
          <w:lang w:val="en-GB"/>
        </w:rPr>
      </w:pPr>
    </w:p>
    <w:p w:rsidR="00792794" w:rsidRPr="00792794" w:rsidRDefault="00792794" w:rsidP="00792794">
      <w:pPr>
        <w:rPr>
          <w:rFonts w:ascii="Calibri" w:hAnsi="Calibri" w:cs="Calibri"/>
          <w:sz w:val="22"/>
          <w:szCs w:val="22"/>
          <w:lang w:val="en-GB"/>
        </w:rPr>
      </w:pPr>
      <w:r w:rsidRPr="00792794">
        <w:rPr>
          <w:rFonts w:ascii="Calibri" w:hAnsi="Calibri" w:cs="Calibri"/>
          <w:sz w:val="22"/>
          <w:szCs w:val="22"/>
          <w:lang w:val="en-GB"/>
        </w:rPr>
        <w:t>We have not performed any verification work or audited any of the information contained in the financial statements or other sources in respect of each club for the purpose of the publication.</w:t>
      </w:r>
    </w:p>
    <w:p w:rsidR="00792794" w:rsidRPr="00792794" w:rsidRDefault="00792794" w:rsidP="00792794">
      <w:pPr>
        <w:rPr>
          <w:rFonts w:ascii="Calibri" w:hAnsi="Calibri" w:cs="Calibri"/>
          <w:sz w:val="22"/>
          <w:szCs w:val="22"/>
          <w:lang w:val="en-GB"/>
        </w:rPr>
      </w:pPr>
    </w:p>
    <w:p w:rsidR="00792794" w:rsidRPr="00792794" w:rsidRDefault="00792794" w:rsidP="00792794">
      <w:pPr>
        <w:rPr>
          <w:rFonts w:ascii="Calibri" w:hAnsi="Calibri" w:cs="Calibri"/>
          <w:sz w:val="22"/>
          <w:szCs w:val="22"/>
          <w:lang w:val="en-GB"/>
        </w:rPr>
      </w:pPr>
      <w:r w:rsidRPr="00792794">
        <w:rPr>
          <w:rFonts w:ascii="Calibri" w:hAnsi="Calibri" w:cs="Calibri"/>
          <w:sz w:val="22"/>
          <w:szCs w:val="22"/>
          <w:lang w:val="en-GB"/>
        </w:rPr>
        <w:t xml:space="preserve">For the purpose of the international comparisons, unless otherwise stated, all figures for the financial year ending in 2020 have been translated at the average exchange rate for the year ending 30 June 2020 (£1 = €1.14), or 31 December 2019 for Russian Rouble (€1 =73.94). Comparative figures have been extracted from previous editions of the </w:t>
      </w:r>
      <w:r w:rsidRPr="00792794">
        <w:rPr>
          <w:rFonts w:ascii="Calibri" w:hAnsi="Calibri" w:cs="Calibri"/>
          <w:i/>
          <w:iCs/>
          <w:sz w:val="22"/>
          <w:szCs w:val="22"/>
          <w:lang w:val="en-GB"/>
        </w:rPr>
        <w:t>Deloitte Football Money League</w:t>
      </w:r>
      <w:r w:rsidRPr="00792794">
        <w:rPr>
          <w:rFonts w:ascii="Calibri" w:hAnsi="Calibri" w:cs="Calibri"/>
          <w:sz w:val="22"/>
          <w:szCs w:val="22"/>
          <w:lang w:val="en-GB"/>
        </w:rPr>
        <w:t>, or from relevant annual financial statements or other direct sources.</w:t>
      </w:r>
    </w:p>
    <w:p w:rsidR="00792794" w:rsidRPr="00792794" w:rsidRDefault="00792794" w:rsidP="00792794">
      <w:pPr>
        <w:rPr>
          <w:rFonts w:ascii="Calibri" w:hAnsi="Calibri" w:cs="Calibri"/>
          <w:sz w:val="22"/>
          <w:szCs w:val="22"/>
          <w:lang w:val="en-GB"/>
        </w:rPr>
      </w:pPr>
    </w:p>
    <w:p w:rsidR="00792794" w:rsidRPr="00792794" w:rsidRDefault="00792794" w:rsidP="00792794">
      <w:pPr>
        <w:rPr>
          <w:rFonts w:ascii="Calibri" w:hAnsi="Calibri" w:cs="Calibri"/>
          <w:sz w:val="22"/>
          <w:szCs w:val="22"/>
          <w:lang w:val="en-GB"/>
        </w:rPr>
      </w:pPr>
      <w:r w:rsidRPr="00792794">
        <w:rPr>
          <w:rFonts w:ascii="Calibri" w:hAnsi="Calibri" w:cs="Calibri"/>
          <w:sz w:val="22"/>
          <w:szCs w:val="22"/>
          <w:lang w:val="en-GB"/>
        </w:rPr>
        <w:t xml:space="preserve">Later this year the </w:t>
      </w:r>
      <w:r w:rsidRPr="00792794">
        <w:rPr>
          <w:rFonts w:ascii="Calibri" w:hAnsi="Calibri" w:cs="Calibri"/>
          <w:i/>
          <w:iCs/>
          <w:sz w:val="22"/>
          <w:szCs w:val="22"/>
          <w:lang w:val="en-GB"/>
        </w:rPr>
        <w:t>Deloitte Annual Review of Football Finance</w:t>
      </w:r>
      <w:r w:rsidRPr="00792794">
        <w:rPr>
          <w:rFonts w:ascii="Calibri" w:hAnsi="Calibri" w:cs="Calibri"/>
          <w:sz w:val="22"/>
          <w:szCs w:val="22"/>
          <w:lang w:val="en-GB"/>
        </w:rPr>
        <w:t xml:space="preserve"> will be published, providing a more detailed analysis of the English and European football finance landscape.</w:t>
      </w:r>
    </w:p>
    <w:p w:rsidR="00792794" w:rsidRPr="00792794" w:rsidRDefault="00792794" w:rsidP="00792794">
      <w:pPr>
        <w:rPr>
          <w:rFonts w:ascii="Calibri" w:hAnsi="Calibri" w:cs="Calibri"/>
          <w:b/>
          <w:bCs/>
          <w:sz w:val="22"/>
          <w:szCs w:val="22"/>
          <w:lang w:val="en-GB"/>
        </w:rPr>
      </w:pPr>
    </w:p>
    <w:p w:rsidR="00792794" w:rsidRPr="00792794" w:rsidRDefault="00792794" w:rsidP="00792794">
      <w:pPr>
        <w:rPr>
          <w:rFonts w:ascii="Calibri" w:hAnsi="Calibri" w:cs="Calibri"/>
          <w:b/>
          <w:bCs/>
          <w:sz w:val="22"/>
          <w:szCs w:val="22"/>
          <w:lang w:val="en-GB"/>
        </w:rPr>
      </w:pPr>
      <w:r w:rsidRPr="00792794">
        <w:rPr>
          <w:rFonts w:ascii="Calibri" w:hAnsi="Calibri" w:cs="Calibri"/>
          <w:b/>
          <w:bCs/>
          <w:sz w:val="22"/>
          <w:szCs w:val="22"/>
          <w:lang w:val="en-GB"/>
        </w:rPr>
        <w:t>About the Sports Business Group at Deloitte</w:t>
      </w:r>
    </w:p>
    <w:p w:rsidR="00792794" w:rsidRPr="00792794" w:rsidRDefault="00792794" w:rsidP="00792794">
      <w:pPr>
        <w:rPr>
          <w:rFonts w:ascii="Calibri" w:hAnsi="Calibri" w:cs="Calibri"/>
          <w:sz w:val="22"/>
          <w:szCs w:val="22"/>
          <w:lang w:val="en-GB"/>
        </w:rPr>
      </w:pPr>
      <w:r w:rsidRPr="00792794">
        <w:rPr>
          <w:rFonts w:ascii="Calibri" w:hAnsi="Calibri" w:cs="Calibri"/>
          <w:sz w:val="22"/>
          <w:szCs w:val="22"/>
          <w:lang w:val="en-GB"/>
        </w:rPr>
        <w:t>Over the last 30 years Deloitte has developed a unique focus on the business of sport. Our specialist Sports Business Group offers a multi-disciplined expert service with dedicated people and skills capable of adding significant value to the business of sport. Whether it is benchmarking or strategic business reviews, operational turnarounds, revenue enhancement strategies or stadium/venue development plans, business planning, market and demand analysis, acquisitions, due diligence, expert witness, audits or tax planning; we have worked with more clubs, leagues, governing bodies, stadia developers, event organisers, commercial partners, financiers and investors than any other adviser.</w:t>
      </w:r>
    </w:p>
    <w:p w:rsidR="00792794" w:rsidRPr="00792794" w:rsidRDefault="00792794" w:rsidP="00792794">
      <w:pPr>
        <w:rPr>
          <w:rFonts w:ascii="Calibri" w:hAnsi="Calibri" w:cs="Calibri"/>
          <w:sz w:val="22"/>
          <w:szCs w:val="22"/>
          <w:lang w:val="en-GB"/>
        </w:rPr>
      </w:pPr>
    </w:p>
    <w:p w:rsidR="00792794" w:rsidRPr="00792794" w:rsidRDefault="00792794" w:rsidP="00792794">
      <w:pPr>
        <w:rPr>
          <w:rFonts w:ascii="Calibri" w:hAnsi="Calibri" w:cs="Calibri"/>
          <w:sz w:val="22"/>
          <w:szCs w:val="22"/>
          <w:lang w:val="en-GB"/>
        </w:rPr>
      </w:pPr>
      <w:r w:rsidRPr="00792794">
        <w:rPr>
          <w:rFonts w:ascii="Calibri" w:hAnsi="Calibri" w:cs="Calibri"/>
          <w:sz w:val="22"/>
          <w:szCs w:val="22"/>
          <w:lang w:val="en-GB"/>
        </w:rPr>
        <w:t xml:space="preserve">For further information on our services you can access our website at </w:t>
      </w:r>
      <w:hyperlink r:id="rId12" w:history="1">
        <w:r w:rsidRPr="00792794">
          <w:rPr>
            <w:rStyle w:val="Hyperlink"/>
            <w:rFonts w:ascii="Calibri" w:hAnsi="Calibri" w:cs="Calibri"/>
            <w:sz w:val="22"/>
            <w:szCs w:val="22"/>
            <w:lang w:val="en-GB"/>
          </w:rPr>
          <w:t>www.deloitte.co.uk/sportsbusinessgroup</w:t>
        </w:r>
      </w:hyperlink>
    </w:p>
    <w:p w:rsidR="002564BE" w:rsidRPr="00792794" w:rsidRDefault="002564BE" w:rsidP="002564BE">
      <w:pPr>
        <w:rPr>
          <w:rFonts w:ascii="Calibri" w:hAnsi="Calibri" w:cs="Calibri"/>
          <w:b/>
          <w:bCs/>
          <w:sz w:val="20"/>
          <w:szCs w:val="20"/>
          <w:lang w:eastAsia="en-GB"/>
        </w:rPr>
      </w:pPr>
    </w:p>
    <w:p w:rsidR="002564BE" w:rsidRPr="00792794" w:rsidRDefault="002564BE" w:rsidP="002564BE">
      <w:pPr>
        <w:pStyle w:val="Text"/>
        <w:spacing w:line="240" w:lineRule="auto"/>
        <w:rPr>
          <w:rFonts w:ascii="Calibri" w:hAnsi="Calibri" w:cs="Calibri"/>
          <w:sz w:val="20"/>
          <w:szCs w:val="20"/>
          <w:shd w:val="clear" w:color="auto" w:fill="FFFFFF"/>
          <w:lang w:val="en-US"/>
        </w:rPr>
      </w:pPr>
    </w:p>
    <w:p w:rsidR="00AD4BFC" w:rsidRPr="00792794" w:rsidRDefault="00792794" w:rsidP="00AE1530">
      <w:pPr>
        <w:pStyle w:val="Text"/>
        <w:spacing w:line="240" w:lineRule="auto"/>
        <w:rPr>
          <w:rFonts w:ascii="Calibri" w:hAnsi="Calibri" w:cs="Calibri"/>
          <w:b/>
          <w:sz w:val="20"/>
          <w:szCs w:val="20"/>
          <w:shd w:val="clear" w:color="auto" w:fill="FFFFFF"/>
          <w:lang w:val="en-US"/>
        </w:rPr>
        <w:sectPr w:rsidR="00AD4BFC" w:rsidRPr="00792794" w:rsidSect="00C67491">
          <w:footerReference w:type="default" r:id="rId13"/>
          <w:headerReference w:type="first" r:id="rId14"/>
          <w:footerReference w:type="first" r:id="rId15"/>
          <w:pgSz w:w="11906" w:h="16838" w:code="9"/>
          <w:pgMar w:top="1417" w:right="1417" w:bottom="1417" w:left="1417" w:header="680" w:footer="567" w:gutter="0"/>
          <w:cols w:space="284"/>
          <w:titlePg/>
          <w:docGrid w:linePitch="360"/>
        </w:sectPr>
      </w:pPr>
      <w:r>
        <w:rPr>
          <w:rFonts w:ascii="Calibri" w:hAnsi="Calibri" w:cs="Calibri"/>
          <w:b/>
          <w:sz w:val="20"/>
          <w:szCs w:val="20"/>
          <w:shd w:val="clear" w:color="auto" w:fill="FFFFFF"/>
          <w:lang w:val="en-US"/>
        </w:rPr>
        <w:t xml:space="preserve">Media </w:t>
      </w:r>
      <w:bookmarkStart w:id="2" w:name="_GoBack"/>
      <w:bookmarkEnd w:id="2"/>
      <w:r w:rsidRPr="00792794">
        <w:rPr>
          <w:rFonts w:ascii="Calibri" w:hAnsi="Calibri" w:cs="Calibri"/>
          <w:b/>
          <w:sz w:val="20"/>
          <w:szCs w:val="20"/>
          <w:shd w:val="clear" w:color="auto" w:fill="FFFFFF"/>
          <w:lang w:val="en-US"/>
        </w:rPr>
        <w:t>Contacts:</w:t>
      </w:r>
    </w:p>
    <w:p w:rsidR="00AE1530" w:rsidRPr="00792794" w:rsidRDefault="00AE1530" w:rsidP="0054105B">
      <w:pPr>
        <w:pStyle w:val="Text"/>
        <w:spacing w:line="240" w:lineRule="auto"/>
        <w:rPr>
          <w:rFonts w:ascii="Calibri" w:hAnsi="Calibri" w:cs="Calibri"/>
          <w:sz w:val="20"/>
          <w:szCs w:val="20"/>
          <w:shd w:val="clear" w:color="auto" w:fill="FFFFFF"/>
          <w:lang w:val="en-US"/>
        </w:rPr>
      </w:pPr>
    </w:p>
    <w:p w:rsidR="00AD4BFC" w:rsidRPr="00792794" w:rsidRDefault="00AD4BFC" w:rsidP="00AE1530">
      <w:pPr>
        <w:pStyle w:val="Text"/>
        <w:spacing w:line="240" w:lineRule="auto"/>
        <w:rPr>
          <w:rFonts w:ascii="Calibri" w:hAnsi="Calibri" w:cs="Calibri"/>
          <w:sz w:val="20"/>
          <w:szCs w:val="20"/>
          <w:shd w:val="clear" w:color="auto" w:fill="FFFFFF"/>
          <w:lang w:val="en-US"/>
        </w:rPr>
        <w:sectPr w:rsidR="00AD4BFC" w:rsidRPr="00792794" w:rsidSect="0054105B">
          <w:type w:val="continuous"/>
          <w:pgSz w:w="11906" w:h="16838" w:code="9"/>
          <w:pgMar w:top="1417" w:right="1417" w:bottom="1417" w:left="1417" w:header="680" w:footer="567" w:gutter="0"/>
          <w:cols w:num="2" w:space="284"/>
          <w:titlePg/>
          <w:docGrid w:linePitch="360"/>
        </w:sectPr>
      </w:pPr>
    </w:p>
    <w:p w:rsidR="00AE1530" w:rsidRPr="00792794" w:rsidRDefault="00AE1530" w:rsidP="00AE1530">
      <w:pPr>
        <w:pStyle w:val="Text"/>
        <w:spacing w:line="240" w:lineRule="auto"/>
        <w:rPr>
          <w:rFonts w:ascii="Calibri" w:hAnsi="Calibri" w:cs="Calibri"/>
          <w:sz w:val="22"/>
          <w:szCs w:val="22"/>
          <w:shd w:val="clear" w:color="auto" w:fill="FFFFFF"/>
          <w:lang w:val="en-US"/>
        </w:rPr>
      </w:pPr>
      <w:r w:rsidRPr="00792794">
        <w:rPr>
          <w:rFonts w:ascii="Calibri" w:hAnsi="Calibri" w:cs="Calibri"/>
          <w:sz w:val="22"/>
          <w:szCs w:val="22"/>
          <w:shd w:val="clear" w:color="auto" w:fill="FFFFFF"/>
          <w:lang w:val="en-US"/>
        </w:rPr>
        <w:t>Michal Malysa</w:t>
      </w:r>
    </w:p>
    <w:p w:rsidR="00AE1530" w:rsidRPr="00792794" w:rsidRDefault="00AE1530" w:rsidP="00AE1530">
      <w:pPr>
        <w:pStyle w:val="Text"/>
        <w:spacing w:line="240" w:lineRule="auto"/>
        <w:rPr>
          <w:rFonts w:ascii="Calibri" w:hAnsi="Calibri" w:cs="Calibri"/>
          <w:sz w:val="22"/>
          <w:szCs w:val="22"/>
          <w:shd w:val="clear" w:color="auto" w:fill="FFFFFF"/>
          <w:lang w:val="en-US"/>
        </w:rPr>
      </w:pPr>
      <w:r w:rsidRPr="00792794">
        <w:rPr>
          <w:rFonts w:ascii="Calibri" w:hAnsi="Calibri" w:cs="Calibri"/>
          <w:sz w:val="22"/>
          <w:szCs w:val="22"/>
          <w:shd w:val="clear" w:color="auto" w:fill="FFFFFF"/>
          <w:lang w:val="en-US"/>
        </w:rPr>
        <w:t>Head of PR and Communications</w:t>
      </w:r>
    </w:p>
    <w:p w:rsidR="00AE1530" w:rsidRPr="00792794" w:rsidRDefault="00792794" w:rsidP="00AE1530">
      <w:pPr>
        <w:pStyle w:val="Text"/>
        <w:spacing w:line="240" w:lineRule="auto"/>
        <w:rPr>
          <w:rFonts w:ascii="Calibri" w:hAnsi="Calibri" w:cs="Calibri"/>
          <w:color w:val="000000" w:themeColor="text1"/>
          <w:sz w:val="22"/>
          <w:szCs w:val="22"/>
          <w:shd w:val="clear" w:color="auto" w:fill="FFFFFF"/>
          <w:lang w:val="en-US"/>
        </w:rPr>
      </w:pPr>
      <w:hyperlink r:id="rId16" w:history="1">
        <w:r w:rsidR="00AE1530" w:rsidRPr="00792794">
          <w:rPr>
            <w:rStyle w:val="Hyperlink"/>
            <w:rFonts w:ascii="Calibri" w:hAnsi="Calibri" w:cs="Calibri"/>
            <w:color w:val="000000" w:themeColor="text1"/>
            <w:sz w:val="22"/>
            <w:szCs w:val="22"/>
            <w:shd w:val="clear" w:color="auto" w:fill="FFFFFF"/>
            <w:lang w:val="en-US"/>
          </w:rPr>
          <w:t>mmalysa@deloittece.com</w:t>
        </w:r>
      </w:hyperlink>
      <w:r w:rsidR="00AE1530" w:rsidRPr="00792794">
        <w:rPr>
          <w:rFonts w:ascii="Calibri" w:hAnsi="Calibri" w:cs="Calibri"/>
          <w:color w:val="000000" w:themeColor="text1"/>
          <w:sz w:val="22"/>
          <w:szCs w:val="22"/>
          <w:shd w:val="clear" w:color="auto" w:fill="FFFFFF"/>
          <w:lang w:val="en-US"/>
        </w:rPr>
        <w:t xml:space="preserve"> </w:t>
      </w:r>
    </w:p>
    <w:p w:rsidR="0054105B" w:rsidRPr="00792794" w:rsidRDefault="00AE1530" w:rsidP="00AE1530">
      <w:pPr>
        <w:pStyle w:val="Text"/>
        <w:spacing w:line="240" w:lineRule="auto"/>
        <w:rPr>
          <w:rFonts w:ascii="Calibri" w:hAnsi="Calibri" w:cs="Calibri"/>
          <w:sz w:val="22"/>
          <w:szCs w:val="22"/>
          <w:shd w:val="clear" w:color="auto" w:fill="FFFFFF"/>
          <w:lang w:val="en-US"/>
        </w:rPr>
      </w:pPr>
      <w:r w:rsidRPr="00792794">
        <w:rPr>
          <w:rFonts w:ascii="Calibri" w:hAnsi="Calibri" w:cs="Calibri"/>
          <w:sz w:val="22"/>
          <w:szCs w:val="22"/>
          <w:shd w:val="clear" w:color="auto" w:fill="FFFFFF"/>
          <w:lang w:val="en-US"/>
        </w:rPr>
        <w:t>Tel: +420 775</w:t>
      </w:r>
      <w:r w:rsidR="003C237F" w:rsidRPr="00792794">
        <w:rPr>
          <w:rFonts w:ascii="Calibri" w:hAnsi="Calibri" w:cs="Calibri"/>
          <w:sz w:val="22"/>
          <w:szCs w:val="22"/>
          <w:shd w:val="clear" w:color="auto" w:fill="FFFFFF"/>
          <w:lang w:val="en-US"/>
        </w:rPr>
        <w:t> </w:t>
      </w:r>
      <w:r w:rsidRPr="00792794">
        <w:rPr>
          <w:rFonts w:ascii="Calibri" w:hAnsi="Calibri" w:cs="Calibri"/>
          <w:sz w:val="22"/>
          <w:szCs w:val="22"/>
          <w:shd w:val="clear" w:color="auto" w:fill="FFFFFF"/>
          <w:lang w:val="en-US"/>
        </w:rPr>
        <w:t>708</w:t>
      </w:r>
      <w:r w:rsidR="0054105B" w:rsidRPr="00792794">
        <w:rPr>
          <w:rFonts w:ascii="Calibri" w:hAnsi="Calibri" w:cs="Calibri"/>
          <w:sz w:val="22"/>
          <w:szCs w:val="22"/>
          <w:shd w:val="clear" w:color="auto" w:fill="FFFFFF"/>
          <w:lang w:val="en-US"/>
        </w:rPr>
        <w:t> </w:t>
      </w:r>
      <w:r w:rsidRPr="00792794">
        <w:rPr>
          <w:rFonts w:ascii="Calibri" w:hAnsi="Calibri" w:cs="Calibri"/>
          <w:sz w:val="22"/>
          <w:szCs w:val="22"/>
          <w:shd w:val="clear" w:color="auto" w:fill="FFFFFF"/>
          <w:lang w:val="en-US"/>
        </w:rPr>
        <w:t>086</w:t>
      </w:r>
    </w:p>
    <w:p w:rsidR="003C237F" w:rsidRPr="00792794" w:rsidRDefault="0054105B" w:rsidP="00AE1530">
      <w:pPr>
        <w:pStyle w:val="Text"/>
        <w:spacing w:line="240" w:lineRule="auto"/>
        <w:rPr>
          <w:rFonts w:ascii="Calibri" w:hAnsi="Calibri" w:cs="Calibri"/>
          <w:sz w:val="22"/>
          <w:szCs w:val="22"/>
          <w:shd w:val="clear" w:color="auto" w:fill="FFFFFF"/>
          <w:lang w:val="en-US"/>
        </w:rPr>
      </w:pPr>
      <w:r w:rsidRPr="00792794">
        <w:rPr>
          <w:rFonts w:ascii="Calibri" w:hAnsi="Calibri" w:cs="Calibri"/>
          <w:sz w:val="22"/>
          <w:szCs w:val="22"/>
          <w:shd w:val="clear" w:color="auto" w:fill="FFFFFF"/>
          <w:lang w:val="en-US"/>
        </w:rPr>
        <w:br w:type="column"/>
      </w:r>
      <w:r w:rsidR="003C3075" w:rsidRPr="00792794">
        <w:rPr>
          <w:rFonts w:ascii="Calibri" w:hAnsi="Calibri" w:cs="Calibri"/>
          <w:sz w:val="22"/>
          <w:szCs w:val="22"/>
          <w:shd w:val="clear" w:color="auto" w:fill="FFFFFF"/>
          <w:lang w:val="en-US"/>
        </w:rPr>
        <w:t>Jana Morávková</w:t>
      </w:r>
    </w:p>
    <w:p w:rsidR="003C237F" w:rsidRPr="00792794" w:rsidRDefault="003C237F" w:rsidP="00AE1530">
      <w:pPr>
        <w:pStyle w:val="Text"/>
        <w:spacing w:line="240" w:lineRule="auto"/>
        <w:rPr>
          <w:rFonts w:ascii="Calibri" w:hAnsi="Calibri" w:cs="Calibri"/>
          <w:color w:val="auto"/>
          <w:sz w:val="22"/>
          <w:szCs w:val="22"/>
          <w:shd w:val="clear" w:color="auto" w:fill="FFFFFF"/>
          <w:lang w:val="en-US"/>
        </w:rPr>
      </w:pPr>
      <w:r w:rsidRPr="00792794">
        <w:rPr>
          <w:rFonts w:ascii="Calibri" w:hAnsi="Calibri" w:cs="Calibri"/>
          <w:color w:val="auto"/>
          <w:sz w:val="22"/>
          <w:szCs w:val="22"/>
          <w:shd w:val="clear" w:color="auto" w:fill="FFFFFF"/>
          <w:lang w:val="en-US"/>
        </w:rPr>
        <w:t>Senior Media and PR Specialist</w:t>
      </w:r>
    </w:p>
    <w:p w:rsidR="003C237F" w:rsidRPr="00792794" w:rsidRDefault="00792794" w:rsidP="00AE1530">
      <w:pPr>
        <w:pStyle w:val="Text"/>
        <w:spacing w:line="240" w:lineRule="auto"/>
        <w:rPr>
          <w:rFonts w:ascii="Calibri" w:hAnsi="Calibri" w:cs="Calibri"/>
          <w:color w:val="auto"/>
          <w:sz w:val="22"/>
          <w:szCs w:val="22"/>
          <w:shd w:val="clear" w:color="auto" w:fill="FFFFFF"/>
          <w:lang w:val="en-US"/>
        </w:rPr>
      </w:pPr>
      <w:hyperlink r:id="rId17" w:history="1">
        <w:r w:rsidR="003C3075" w:rsidRPr="00792794">
          <w:rPr>
            <w:rStyle w:val="Hyperlink"/>
            <w:rFonts w:ascii="Calibri" w:hAnsi="Calibri" w:cs="Calibri"/>
            <w:color w:val="auto"/>
            <w:sz w:val="22"/>
            <w:szCs w:val="22"/>
            <w:shd w:val="clear" w:color="auto" w:fill="FFFFFF"/>
            <w:lang w:val="en-US"/>
          </w:rPr>
          <w:t>jmoravkova@deloittece.com</w:t>
        </w:r>
      </w:hyperlink>
      <w:r w:rsidR="003C3075" w:rsidRPr="00792794">
        <w:rPr>
          <w:rFonts w:ascii="Calibri" w:hAnsi="Calibri" w:cs="Calibri"/>
          <w:color w:val="auto"/>
          <w:sz w:val="22"/>
          <w:szCs w:val="22"/>
          <w:shd w:val="clear" w:color="auto" w:fill="FFFFFF"/>
          <w:lang w:val="en-US"/>
        </w:rPr>
        <w:t xml:space="preserve"> </w:t>
      </w:r>
    </w:p>
    <w:p w:rsidR="0054105B" w:rsidRPr="00792794" w:rsidRDefault="003C237F" w:rsidP="00D71149">
      <w:pPr>
        <w:pStyle w:val="Text"/>
        <w:spacing w:line="240" w:lineRule="auto"/>
        <w:rPr>
          <w:rFonts w:ascii="Calibri" w:hAnsi="Calibri" w:cs="Calibri"/>
          <w:sz w:val="22"/>
          <w:szCs w:val="22"/>
          <w:shd w:val="clear" w:color="auto" w:fill="FFFFFF"/>
          <w:lang w:val="en-US"/>
        </w:rPr>
      </w:pPr>
      <w:r w:rsidRPr="00792794">
        <w:rPr>
          <w:rFonts w:ascii="Calibri" w:hAnsi="Calibri" w:cs="Calibri"/>
          <w:sz w:val="22"/>
          <w:szCs w:val="22"/>
          <w:shd w:val="clear" w:color="auto" w:fill="FFFFFF"/>
          <w:lang w:val="en-US"/>
        </w:rPr>
        <w:t>Tel: +420</w:t>
      </w:r>
      <w:r w:rsidR="003C3075" w:rsidRPr="00792794">
        <w:rPr>
          <w:rFonts w:ascii="Calibri" w:hAnsi="Calibri" w:cs="Calibri"/>
          <w:sz w:val="22"/>
          <w:szCs w:val="22"/>
          <w:shd w:val="clear" w:color="auto" w:fill="FFFFFF"/>
          <w:lang w:val="en-US"/>
        </w:rPr>
        <w:t> 728 258 798</w:t>
      </w:r>
    </w:p>
    <w:p w:rsidR="0054105B" w:rsidRPr="00792794" w:rsidRDefault="0054105B" w:rsidP="00D71149">
      <w:pPr>
        <w:pStyle w:val="Text"/>
        <w:spacing w:line="240" w:lineRule="auto"/>
        <w:rPr>
          <w:rFonts w:ascii="Calibri" w:hAnsi="Calibri" w:cs="Calibri"/>
          <w:sz w:val="20"/>
          <w:szCs w:val="20"/>
          <w:shd w:val="clear" w:color="auto" w:fill="FFFFFF"/>
          <w:lang w:val="en-US"/>
        </w:rPr>
      </w:pPr>
    </w:p>
    <w:sectPr w:rsidR="0054105B" w:rsidRPr="00792794" w:rsidSect="0054105B">
      <w:type w:val="continuous"/>
      <w:pgSz w:w="11906" w:h="16838" w:code="9"/>
      <w:pgMar w:top="1417" w:right="1417" w:bottom="1417" w:left="1417" w:header="680" w:footer="567" w:gutter="0"/>
      <w:cols w:num="2" w:space="284"/>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917CA7" w16cid:durableId="1F4F9D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E6C" w:rsidRDefault="004A4E6C" w:rsidP="00C702C7">
      <w:r>
        <w:separator/>
      </w:r>
    </w:p>
  </w:endnote>
  <w:endnote w:type="continuationSeparator" w:id="0">
    <w:p w:rsidR="004A4E6C" w:rsidRDefault="004A4E6C" w:rsidP="00C7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OpenSans-Bol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4A0" w:firstRow="1" w:lastRow="0" w:firstColumn="1" w:lastColumn="0" w:noHBand="0" w:noVBand="1"/>
    </w:tblPr>
    <w:tblGrid>
      <w:gridCol w:w="3544"/>
      <w:gridCol w:w="7002"/>
    </w:tblGrid>
    <w:tr w:rsidR="00B30D35" w:rsidRPr="00D6230E" w:rsidTr="00D6230E">
      <w:tc>
        <w:tcPr>
          <w:tcW w:w="3544" w:type="dxa"/>
          <w:tcBorders>
            <w:top w:val="nil"/>
            <w:left w:val="nil"/>
            <w:bottom w:val="nil"/>
            <w:right w:val="nil"/>
            <w:tl2br w:val="nil"/>
            <w:tr2bl w:val="nil"/>
          </w:tcBorders>
          <w:shd w:val="clear" w:color="auto" w:fill="auto"/>
          <w:vAlign w:val="bottom"/>
        </w:tcPr>
        <w:p w:rsidR="00B30D35" w:rsidRPr="00D6230E" w:rsidRDefault="00B30D35" w:rsidP="00BC0047">
          <w:pPr>
            <w:pStyle w:val="Footer"/>
          </w:pPr>
          <w:r w:rsidRPr="00D6230E">
            <w:fldChar w:fldCharType="begin"/>
          </w:r>
          <w:r w:rsidRPr="00D6230E">
            <w:instrText xml:space="preserve"> IF </w:instrText>
          </w:r>
          <w:r w:rsidRPr="00D6230E">
            <w:fldChar w:fldCharType="begin"/>
          </w:r>
          <w:r w:rsidRPr="00D6230E">
            <w:instrText xml:space="preserve"> PAGE  \* Arabic  \* MERGEFORMAT </w:instrText>
          </w:r>
          <w:r w:rsidRPr="00D6230E">
            <w:fldChar w:fldCharType="separate"/>
          </w:r>
          <w:r w:rsidR="00792794">
            <w:rPr>
              <w:noProof/>
            </w:rPr>
            <w:instrText>7</w:instrText>
          </w:r>
          <w:r w:rsidRPr="00D6230E">
            <w:fldChar w:fldCharType="end"/>
          </w:r>
          <w:r w:rsidRPr="00D6230E">
            <w:instrText xml:space="preserve"> &lt; 10 </w:instrText>
          </w:r>
          <w:r w:rsidRPr="00D6230E">
            <w:fldChar w:fldCharType="begin"/>
          </w:r>
          <w:r w:rsidRPr="00D6230E">
            <w:instrText xml:space="preserve"> IF </w:instrText>
          </w:r>
          <w:r w:rsidRPr="00D6230E">
            <w:fldChar w:fldCharType="begin"/>
          </w:r>
          <w:r w:rsidRPr="00D6230E">
            <w:instrText xml:space="preserve"> PAGE  \* Arabic  \* MERGEFORMAT </w:instrText>
          </w:r>
          <w:r w:rsidRPr="00D6230E">
            <w:fldChar w:fldCharType="separate"/>
          </w:r>
          <w:r w:rsidR="00792794">
            <w:rPr>
              <w:noProof/>
            </w:rPr>
            <w:instrText>7</w:instrText>
          </w:r>
          <w:r w:rsidRPr="00D6230E">
            <w:fldChar w:fldCharType="end"/>
          </w:r>
          <w:r w:rsidRPr="00D6230E">
            <w:instrText xml:space="preserve"> &lt; "10" "0</w:instrText>
          </w:r>
          <w:r w:rsidRPr="00D6230E">
            <w:fldChar w:fldCharType="begin"/>
          </w:r>
          <w:r w:rsidRPr="00D6230E">
            <w:instrText xml:space="preserve"> PAGE  \* Arabic  \* MERGEFORMAT </w:instrText>
          </w:r>
          <w:r w:rsidRPr="00D6230E">
            <w:fldChar w:fldCharType="separate"/>
          </w:r>
          <w:r w:rsidR="00792794">
            <w:rPr>
              <w:noProof/>
            </w:rPr>
            <w:instrText>7</w:instrText>
          </w:r>
          <w:r w:rsidRPr="00D6230E">
            <w:fldChar w:fldCharType="end"/>
          </w:r>
          <w:r w:rsidRPr="00D6230E">
            <w:instrText xml:space="preserve">" \* MERGEFORMAT </w:instrText>
          </w:r>
          <w:r w:rsidRPr="00D6230E">
            <w:fldChar w:fldCharType="separate"/>
          </w:r>
          <w:r w:rsidR="00792794" w:rsidRPr="00D6230E">
            <w:rPr>
              <w:noProof/>
            </w:rPr>
            <w:instrText>0</w:instrText>
          </w:r>
          <w:r w:rsidR="00792794">
            <w:rPr>
              <w:noProof/>
            </w:rPr>
            <w:instrText>7</w:instrText>
          </w:r>
          <w:r w:rsidRPr="00D6230E">
            <w:fldChar w:fldCharType="end"/>
          </w:r>
          <w:r w:rsidRPr="00D6230E">
            <w:instrText xml:space="preserve"> </w:instrText>
          </w:r>
          <w:r w:rsidRPr="00D6230E">
            <w:fldChar w:fldCharType="begin"/>
          </w:r>
          <w:r w:rsidRPr="00D6230E">
            <w:instrText xml:space="preserve"> PAGE  \* Arabic  \* MERGEFORMAT </w:instrText>
          </w:r>
          <w:r w:rsidRPr="00D6230E">
            <w:fldChar w:fldCharType="separate"/>
          </w:r>
          <w:r w:rsidRPr="00D6230E">
            <w:rPr>
              <w:noProof/>
            </w:rPr>
            <w:instrText>13</w:instrText>
          </w:r>
          <w:r w:rsidRPr="00D6230E">
            <w:fldChar w:fldCharType="end"/>
          </w:r>
          <w:r w:rsidRPr="00D6230E">
            <w:instrText xml:space="preserve"> \* MERGEFORMAT </w:instrText>
          </w:r>
          <w:r w:rsidRPr="00D6230E">
            <w:fldChar w:fldCharType="separate"/>
          </w:r>
          <w:r w:rsidR="00792794" w:rsidRPr="00D6230E">
            <w:rPr>
              <w:noProof/>
            </w:rPr>
            <w:t>0</w:t>
          </w:r>
          <w:r w:rsidR="00792794">
            <w:rPr>
              <w:noProof/>
            </w:rPr>
            <w:t>7</w:t>
          </w:r>
          <w:r w:rsidRPr="00D6230E">
            <w:fldChar w:fldCharType="end"/>
          </w:r>
        </w:p>
      </w:tc>
      <w:tc>
        <w:tcPr>
          <w:tcW w:w="7002" w:type="dxa"/>
          <w:tcBorders>
            <w:top w:val="nil"/>
            <w:left w:val="nil"/>
            <w:bottom w:val="nil"/>
            <w:right w:val="nil"/>
            <w:tl2br w:val="nil"/>
            <w:tr2bl w:val="nil"/>
          </w:tcBorders>
          <w:shd w:val="clear" w:color="auto" w:fill="auto"/>
          <w:vAlign w:val="bottom"/>
        </w:tcPr>
        <w:p w:rsidR="00B30D35" w:rsidRPr="00D6230E" w:rsidRDefault="00B30D35" w:rsidP="00D6230E">
          <w:pPr>
            <w:pStyle w:val="Footer"/>
            <w:spacing w:line="180" w:lineRule="atLeast"/>
            <w:rPr>
              <w:sz w:val="14"/>
              <w:szCs w:val="14"/>
            </w:rPr>
          </w:pPr>
        </w:p>
      </w:tc>
    </w:tr>
  </w:tbl>
  <w:p w:rsidR="00B30D35" w:rsidRPr="00335CF3" w:rsidRDefault="00B30D35" w:rsidP="00335CF3">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D35" w:rsidRDefault="00B30D35">
    <w:pPr>
      <w:pStyle w:val="Footer"/>
    </w:pPr>
  </w:p>
  <w:p w:rsidR="00B30D35" w:rsidRDefault="00B30D35" w:rsidP="004C5D1B">
    <w:pPr>
      <w:pStyle w:val="Footer"/>
    </w:pPr>
    <w:r>
      <w:fldChar w:fldCharType="begin"/>
    </w:r>
    <w:r>
      <w:instrText xml:space="preserve"> IF </w:instrText>
    </w:r>
    <w:r>
      <w:fldChar w:fldCharType="begin"/>
    </w:r>
    <w:r>
      <w:instrText xml:space="preserve"> PAGE  \* Arabic  \* MERGEFORMAT </w:instrText>
    </w:r>
    <w:r>
      <w:fldChar w:fldCharType="separate"/>
    </w:r>
    <w:r w:rsidR="00792794">
      <w:rPr>
        <w:noProof/>
      </w:rPr>
      <w:instrText>1</w:instrText>
    </w:r>
    <w:r>
      <w:fldChar w:fldCharType="end"/>
    </w:r>
    <w:r>
      <w:instrText xml:space="preserve"> &lt; "10" "0</w:instrText>
    </w:r>
    <w:r>
      <w:fldChar w:fldCharType="begin"/>
    </w:r>
    <w:r>
      <w:instrText xml:space="preserve"> PAGE  \* Arabic  \* MERGEFORMAT </w:instrText>
    </w:r>
    <w:r>
      <w:fldChar w:fldCharType="separate"/>
    </w:r>
    <w:r w:rsidR="00792794">
      <w:rPr>
        <w:noProof/>
      </w:rPr>
      <w:instrText>1</w:instrText>
    </w:r>
    <w:r>
      <w:fldChar w:fldCharType="end"/>
    </w:r>
    <w:r>
      <w:instrText xml:space="preserve">" \* MERGEFORMAT </w:instrText>
    </w:r>
    <w:r>
      <w:fldChar w:fldCharType="separate"/>
    </w:r>
    <w:r w:rsidR="00792794">
      <w:rPr>
        <w:noProof/>
      </w:rPr>
      <w:t>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E6C" w:rsidRDefault="004A4E6C" w:rsidP="00C702C7">
      <w:r>
        <w:separator/>
      </w:r>
    </w:p>
  </w:footnote>
  <w:footnote w:type="continuationSeparator" w:id="0">
    <w:p w:rsidR="004A4E6C" w:rsidRDefault="004A4E6C" w:rsidP="00C70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D35" w:rsidRDefault="00B30D35">
    <w:pPr>
      <w:pStyle w:val="Header"/>
    </w:pPr>
    <w:r>
      <w:rPr>
        <w:noProof/>
        <w:lang w:val="cs-CZ" w:eastAsia="cs-CZ"/>
      </w:rPr>
      <w:drawing>
        <wp:anchor distT="152400" distB="152400" distL="152400" distR="152400" simplePos="0" relativeHeight="251659264" behindDoc="1" locked="0" layoutInCell="1" allowOverlap="1" wp14:anchorId="698ED43C" wp14:editId="2770E8C0">
          <wp:simplePos x="0" y="0"/>
          <wp:positionH relativeFrom="page">
            <wp:posOffset>899795</wp:posOffset>
          </wp:positionH>
          <wp:positionV relativeFrom="page">
            <wp:posOffset>476885</wp:posOffset>
          </wp:positionV>
          <wp:extent cx="1871980" cy="348616"/>
          <wp:effectExtent l="0" t="0" r="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gif"/>
                  <pic:cNvPicPr>
                    <a:picLocks noChangeAspect="1"/>
                  </pic:cNvPicPr>
                </pic:nvPicPr>
                <pic:blipFill>
                  <a:blip r:embed="rId1">
                    <a:extLst/>
                  </a:blip>
                  <a:stretch>
                    <a:fillRect/>
                  </a:stretch>
                </pic:blipFill>
                <pic:spPr>
                  <a:xfrm>
                    <a:off x="0" y="0"/>
                    <a:ext cx="1871980" cy="34861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DA8222E"/>
    <w:lvl w:ilvl="0">
      <w:start w:val="1"/>
      <w:numFmt w:val="lowerLetter"/>
      <w:pStyle w:val="ListNumber2"/>
      <w:lvlText w:val="%1."/>
      <w:lvlJc w:val="left"/>
      <w:pPr>
        <w:ind w:left="644" w:hanging="360"/>
      </w:pPr>
    </w:lvl>
  </w:abstractNum>
  <w:abstractNum w:abstractNumId="1" w15:restartNumberingAfterBreak="0">
    <w:nsid w:val="FFFFFF83"/>
    <w:multiLevelType w:val="singleLevel"/>
    <w:tmpl w:val="8EAA911C"/>
    <w:lvl w:ilvl="0">
      <w:start w:val="1"/>
      <w:numFmt w:val="bullet"/>
      <w:pStyle w:val="ListBullet2"/>
      <w:lvlText w:val="‒"/>
      <w:lvlJc w:val="left"/>
      <w:pPr>
        <w:ind w:left="587" w:hanging="360"/>
      </w:pPr>
      <w:rPr>
        <w:rFonts w:ascii="Calibri" w:hAnsi="Calibri" w:hint="default"/>
      </w:rPr>
    </w:lvl>
  </w:abstractNum>
  <w:abstractNum w:abstractNumId="2" w15:restartNumberingAfterBreak="0">
    <w:nsid w:val="FFFFFF88"/>
    <w:multiLevelType w:val="singleLevel"/>
    <w:tmpl w:val="19C28B1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2A4026B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3459AB"/>
    <w:multiLevelType w:val="hybridMultilevel"/>
    <w:tmpl w:val="6574A6A2"/>
    <w:lvl w:ilvl="0" w:tplc="D0CA4B2A">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F65855"/>
    <w:multiLevelType w:val="hybridMultilevel"/>
    <w:tmpl w:val="F1247F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66209A8"/>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B02634"/>
    <w:multiLevelType w:val="hybridMultilevel"/>
    <w:tmpl w:val="8460EA48"/>
    <w:lvl w:ilvl="0" w:tplc="72EC3CF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506E89"/>
    <w:multiLevelType w:val="hybridMultilevel"/>
    <w:tmpl w:val="AD8A33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0E7690"/>
    <w:multiLevelType w:val="multilevel"/>
    <w:tmpl w:val="2C5666E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51906B9"/>
    <w:multiLevelType w:val="hybridMultilevel"/>
    <w:tmpl w:val="28B2B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A374A1"/>
    <w:multiLevelType w:val="hybridMultilevel"/>
    <w:tmpl w:val="44E0A5F6"/>
    <w:lvl w:ilvl="0" w:tplc="BB3C60E0">
      <w:numFmt w:val="bullet"/>
      <w:lvlText w:val="•"/>
      <w:lvlJc w:val="left"/>
      <w:pPr>
        <w:ind w:left="1004" w:hanging="720"/>
      </w:pPr>
      <w:rPr>
        <w:rFonts w:ascii="Verdana" w:eastAsia="Arial Unicode MS" w:hAnsi="Verdana" w:cs="Arial Unicode M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1C366BD0"/>
    <w:multiLevelType w:val="multilevel"/>
    <w:tmpl w:val="15F6EE94"/>
    <w:lvl w:ilvl="0">
      <w:start w:val="1"/>
      <w:numFmt w:val="decimal"/>
      <w:lvlText w:val="%1."/>
      <w:lvlJc w:val="left"/>
      <w:pPr>
        <w:ind w:left="20" w:hanging="360"/>
      </w:pPr>
      <w:rPr>
        <w:rFonts w:hint="default"/>
        <w:b w:val="0"/>
        <w:i w:val="0"/>
        <w:color w:val="00000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3" w15:restartNumberingAfterBreak="0">
    <w:nsid w:val="1D521ABA"/>
    <w:multiLevelType w:val="hybridMultilevel"/>
    <w:tmpl w:val="3196A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F4B2E2F"/>
    <w:multiLevelType w:val="hybridMultilevel"/>
    <w:tmpl w:val="14E268D2"/>
    <w:lvl w:ilvl="0" w:tplc="DEAE38A0">
      <w:numFmt w:val="bullet"/>
      <w:lvlText w:val="•"/>
      <w:lvlJc w:val="left"/>
      <w:pPr>
        <w:ind w:left="1440" w:hanging="720"/>
      </w:pPr>
      <w:rPr>
        <w:rFonts w:ascii="Verdana" w:eastAsia="Arial Unicode MS" w:hAnsi="Verdana" w:cs="Arial Unicode M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107359E"/>
    <w:multiLevelType w:val="hybridMultilevel"/>
    <w:tmpl w:val="44700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7040CF"/>
    <w:multiLevelType w:val="hybridMultilevel"/>
    <w:tmpl w:val="28B631BA"/>
    <w:lvl w:ilvl="0" w:tplc="04050001">
      <w:start w:val="1"/>
      <w:numFmt w:val="bullet"/>
      <w:lvlText w:val=""/>
      <w:lvlJc w:val="left"/>
      <w:pPr>
        <w:ind w:left="174" w:hanging="174"/>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AF2022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F732CBC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7AEEC1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F5AA29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2C6455B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C04AC6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84CA76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E9CC39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4417D8E"/>
    <w:multiLevelType w:val="hybridMultilevel"/>
    <w:tmpl w:val="12140426"/>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8" w15:restartNumberingAfterBreak="0">
    <w:nsid w:val="2B395534"/>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706E4B"/>
    <w:multiLevelType w:val="hybridMultilevel"/>
    <w:tmpl w:val="5A62C84C"/>
    <w:lvl w:ilvl="0" w:tplc="8BEC6C6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6C6B8E"/>
    <w:multiLevelType w:val="hybridMultilevel"/>
    <w:tmpl w:val="CC9E7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FE2DDD"/>
    <w:multiLevelType w:val="hybridMultilevel"/>
    <w:tmpl w:val="CA628A0A"/>
    <w:lvl w:ilvl="0" w:tplc="0BAC49B2">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40C1C"/>
    <w:multiLevelType w:val="hybridMultilevel"/>
    <w:tmpl w:val="787EDD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360" w:hanging="360"/>
      </w:pPr>
      <w:rPr>
        <w:rFonts w:ascii="Wingdings" w:hAnsi="Wingdings" w:hint="default"/>
      </w:rPr>
    </w:lvl>
    <w:lvl w:ilvl="3" w:tplc="04050001" w:tentative="1">
      <w:start w:val="1"/>
      <w:numFmt w:val="bullet"/>
      <w:lvlText w:val=""/>
      <w:lvlJc w:val="left"/>
      <w:pPr>
        <w:ind w:left="1080" w:hanging="360"/>
      </w:pPr>
      <w:rPr>
        <w:rFonts w:ascii="Symbol" w:hAnsi="Symbol" w:hint="default"/>
      </w:rPr>
    </w:lvl>
    <w:lvl w:ilvl="4" w:tplc="04050003" w:tentative="1">
      <w:start w:val="1"/>
      <w:numFmt w:val="bullet"/>
      <w:lvlText w:val="o"/>
      <w:lvlJc w:val="left"/>
      <w:pPr>
        <w:ind w:left="1800" w:hanging="360"/>
      </w:pPr>
      <w:rPr>
        <w:rFonts w:ascii="Courier New" w:hAnsi="Courier New" w:cs="Courier New" w:hint="default"/>
      </w:rPr>
    </w:lvl>
    <w:lvl w:ilvl="5" w:tplc="04050005" w:tentative="1">
      <w:start w:val="1"/>
      <w:numFmt w:val="bullet"/>
      <w:lvlText w:val=""/>
      <w:lvlJc w:val="left"/>
      <w:pPr>
        <w:ind w:left="2520" w:hanging="360"/>
      </w:pPr>
      <w:rPr>
        <w:rFonts w:ascii="Wingdings" w:hAnsi="Wingdings" w:hint="default"/>
      </w:rPr>
    </w:lvl>
    <w:lvl w:ilvl="6" w:tplc="04050001" w:tentative="1">
      <w:start w:val="1"/>
      <w:numFmt w:val="bullet"/>
      <w:lvlText w:val=""/>
      <w:lvlJc w:val="left"/>
      <w:pPr>
        <w:ind w:left="3240" w:hanging="360"/>
      </w:pPr>
      <w:rPr>
        <w:rFonts w:ascii="Symbol" w:hAnsi="Symbol" w:hint="default"/>
      </w:rPr>
    </w:lvl>
    <w:lvl w:ilvl="7" w:tplc="04050003" w:tentative="1">
      <w:start w:val="1"/>
      <w:numFmt w:val="bullet"/>
      <w:lvlText w:val="o"/>
      <w:lvlJc w:val="left"/>
      <w:pPr>
        <w:ind w:left="3960" w:hanging="360"/>
      </w:pPr>
      <w:rPr>
        <w:rFonts w:ascii="Courier New" w:hAnsi="Courier New" w:cs="Courier New" w:hint="default"/>
      </w:rPr>
    </w:lvl>
    <w:lvl w:ilvl="8" w:tplc="04050005" w:tentative="1">
      <w:start w:val="1"/>
      <w:numFmt w:val="bullet"/>
      <w:lvlText w:val=""/>
      <w:lvlJc w:val="left"/>
      <w:pPr>
        <w:ind w:left="4680" w:hanging="360"/>
      </w:pPr>
      <w:rPr>
        <w:rFonts w:ascii="Wingdings" w:hAnsi="Wingdings" w:hint="default"/>
      </w:rPr>
    </w:lvl>
  </w:abstractNum>
  <w:abstractNum w:abstractNumId="23" w15:restartNumberingAfterBreak="0">
    <w:nsid w:val="405A75A2"/>
    <w:multiLevelType w:val="hybridMultilevel"/>
    <w:tmpl w:val="0F9AF5A0"/>
    <w:lvl w:ilvl="0" w:tplc="DEAE38A0">
      <w:numFmt w:val="bullet"/>
      <w:lvlText w:val="•"/>
      <w:lvlJc w:val="left"/>
      <w:pPr>
        <w:ind w:left="1080" w:hanging="720"/>
      </w:pPr>
      <w:rPr>
        <w:rFonts w:ascii="Verdana" w:eastAsia="Arial Unicode MS" w:hAnsi="Verdana" w:cs="Arial Unicode M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565C15"/>
    <w:multiLevelType w:val="hybridMultilevel"/>
    <w:tmpl w:val="B69E5CF2"/>
    <w:lvl w:ilvl="0" w:tplc="806E79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F11E9C"/>
    <w:multiLevelType w:val="hybridMultilevel"/>
    <w:tmpl w:val="13FE6F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771028C"/>
    <w:multiLevelType w:val="hybridMultilevel"/>
    <w:tmpl w:val="15F6EE94"/>
    <w:lvl w:ilvl="0" w:tplc="0DE6A996">
      <w:start w:val="1"/>
      <w:numFmt w:val="decimal"/>
      <w:lvlText w:val="%1."/>
      <w:lvlJc w:val="left"/>
      <w:pPr>
        <w:ind w:left="20" w:hanging="360"/>
      </w:pPr>
      <w:rPr>
        <w:rFonts w:hint="default"/>
        <w:b w:val="0"/>
        <w:i w:val="0"/>
        <w:color w:val="000000"/>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7" w15:restartNumberingAfterBreak="0">
    <w:nsid w:val="4A863C5D"/>
    <w:multiLevelType w:val="hybridMultilevel"/>
    <w:tmpl w:val="7C2E52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7AE6A82"/>
    <w:multiLevelType w:val="multilevel"/>
    <w:tmpl w:val="27CC0A1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3C439B"/>
    <w:multiLevelType w:val="hybridMultilevel"/>
    <w:tmpl w:val="15F6EE94"/>
    <w:lvl w:ilvl="0" w:tplc="0DE6A996">
      <w:start w:val="1"/>
      <w:numFmt w:val="decimal"/>
      <w:lvlText w:val="%1."/>
      <w:lvlJc w:val="left"/>
      <w:pPr>
        <w:ind w:left="20" w:hanging="360"/>
      </w:pPr>
      <w:rPr>
        <w:rFonts w:hint="default"/>
        <w:b w:val="0"/>
        <w:i w:val="0"/>
        <w:color w:val="000000"/>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30" w15:restartNumberingAfterBreak="0">
    <w:nsid w:val="5D6C51DD"/>
    <w:multiLevelType w:val="hybridMultilevel"/>
    <w:tmpl w:val="CB6C97FC"/>
    <w:lvl w:ilvl="0" w:tplc="4E0CAD60">
      <w:numFmt w:val="bullet"/>
      <w:lvlText w:val="•"/>
      <w:lvlJc w:val="left"/>
      <w:pPr>
        <w:ind w:left="1080" w:hanging="720"/>
      </w:pPr>
      <w:rPr>
        <w:rFonts w:ascii="Verdana" w:eastAsia="Arial Unicode MS" w:hAnsi="Verdana" w:cs="Arial Unicode M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208224D"/>
    <w:multiLevelType w:val="multilevel"/>
    <w:tmpl w:val="307681D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E9058F3"/>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9CE2F91"/>
    <w:multiLevelType w:val="hybridMultilevel"/>
    <w:tmpl w:val="A84E6D20"/>
    <w:lvl w:ilvl="0" w:tplc="DEAE38A0">
      <w:numFmt w:val="bullet"/>
      <w:lvlText w:val="•"/>
      <w:lvlJc w:val="left"/>
      <w:pPr>
        <w:ind w:left="1080" w:hanging="720"/>
      </w:pPr>
      <w:rPr>
        <w:rFonts w:ascii="Verdana" w:eastAsia="Arial Unicode MS" w:hAnsi="Verdana" w:cs="Arial Unicode M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28068C"/>
    <w:multiLevelType w:val="multilevel"/>
    <w:tmpl w:val="0FE63172"/>
    <w:lvl w:ilvl="0">
      <w:start w:val="1"/>
      <w:numFmt w:val="decimal"/>
      <w:pStyle w:val="Smlouvaheading1"/>
      <w:lvlText w:val="%1"/>
      <w:lvlJc w:val="left"/>
      <w:pPr>
        <w:tabs>
          <w:tab w:val="num" w:pos="425"/>
        </w:tabs>
        <w:ind w:left="425" w:hanging="425"/>
      </w:pPr>
      <w:rPr>
        <w:rFonts w:hint="default"/>
      </w:rPr>
    </w:lvl>
    <w:lvl w:ilvl="1">
      <w:start w:val="1"/>
      <w:numFmt w:val="decimal"/>
      <w:pStyle w:val="Smlouvaheading2"/>
      <w:lvlText w:val="%1.%2"/>
      <w:lvlJc w:val="left"/>
      <w:pPr>
        <w:tabs>
          <w:tab w:val="num" w:pos="851"/>
        </w:tabs>
        <w:ind w:left="851" w:hanging="426"/>
      </w:pPr>
      <w:rPr>
        <w:rFonts w:hint="default"/>
      </w:rPr>
    </w:lvl>
    <w:lvl w:ilvl="2">
      <w:start w:val="1"/>
      <w:numFmt w:val="decimal"/>
      <w:pStyle w:val="Smlouvaheading3"/>
      <w:lvlText w:val="%1.%2.%3"/>
      <w:lvlJc w:val="left"/>
      <w:pPr>
        <w:tabs>
          <w:tab w:val="num" w:pos="1474"/>
        </w:tabs>
        <w:ind w:left="1474" w:hanging="623"/>
      </w:pPr>
      <w:rPr>
        <w:rFonts w:hint="default"/>
      </w:rPr>
    </w:lvl>
    <w:lvl w:ilvl="3">
      <w:start w:val="1"/>
      <w:numFmt w:val="decimal"/>
      <w:pStyle w:val="Smlouvaheading4"/>
      <w:lvlText w:val="%1.%2.%3.%4"/>
      <w:lvlJc w:val="left"/>
      <w:pPr>
        <w:tabs>
          <w:tab w:val="num" w:pos="2296"/>
        </w:tabs>
        <w:ind w:left="2296"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2"/>
  </w:num>
  <w:num w:numId="4">
    <w:abstractNumId w:val="0"/>
  </w:num>
  <w:num w:numId="5">
    <w:abstractNumId w:val="19"/>
  </w:num>
  <w:num w:numId="6">
    <w:abstractNumId w:val="29"/>
  </w:num>
  <w:num w:numId="7">
    <w:abstractNumId w:val="29"/>
    <w:lvlOverride w:ilvl="0">
      <w:startOverride w:val="1"/>
    </w:lvlOverride>
  </w:num>
  <w:num w:numId="8">
    <w:abstractNumId w:val="26"/>
  </w:num>
  <w:num w:numId="9">
    <w:abstractNumId w:val="28"/>
  </w:num>
  <w:num w:numId="10">
    <w:abstractNumId w:val="9"/>
  </w:num>
  <w:num w:numId="11">
    <w:abstractNumId w:val="12"/>
  </w:num>
  <w:num w:numId="12">
    <w:abstractNumId w:val="31"/>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18"/>
  </w:num>
  <w:num w:numId="17">
    <w:abstractNumId w:val="24"/>
  </w:num>
  <w:num w:numId="18">
    <w:abstractNumId w:val="7"/>
  </w:num>
  <w:num w:numId="19">
    <w:abstractNumId w:val="21"/>
  </w:num>
  <w:num w:numId="20">
    <w:abstractNumId w:val="4"/>
  </w:num>
  <w:num w:numId="21">
    <w:abstractNumId w:val="34"/>
  </w:num>
  <w:num w:numId="22">
    <w:abstractNumId w:val="34"/>
  </w:num>
  <w:num w:numId="23">
    <w:abstractNumId w:val="34"/>
  </w:num>
  <w:num w:numId="24">
    <w:abstractNumId w:val="34"/>
  </w:num>
  <w:num w:numId="25">
    <w:abstractNumId w:val="8"/>
  </w:num>
  <w:num w:numId="26">
    <w:abstractNumId w:val="16"/>
  </w:num>
  <w:num w:numId="27">
    <w:abstractNumId w:val="11"/>
  </w:num>
  <w:num w:numId="28">
    <w:abstractNumId w:val="15"/>
  </w:num>
  <w:num w:numId="29">
    <w:abstractNumId w:val="33"/>
  </w:num>
  <w:num w:numId="30">
    <w:abstractNumId w:val="14"/>
  </w:num>
  <w:num w:numId="31">
    <w:abstractNumId w:val="23"/>
  </w:num>
  <w:num w:numId="32">
    <w:abstractNumId w:val="17"/>
  </w:num>
  <w:num w:numId="33">
    <w:abstractNumId w:val="20"/>
  </w:num>
  <w:num w:numId="34">
    <w:abstractNumId w:val="30"/>
  </w:num>
  <w:num w:numId="35">
    <w:abstractNumId w:val="22"/>
  </w:num>
  <w:num w:numId="36">
    <w:abstractNumId w:val="25"/>
  </w:num>
  <w:num w:numId="37">
    <w:abstractNumId w:val="5"/>
  </w:num>
  <w:num w:numId="38">
    <w:abstractNumId w:val="27"/>
  </w:num>
  <w:num w:numId="39">
    <w:abstractNumId w:val="13"/>
    <w:lvlOverride w:ilvl="0"/>
    <w:lvlOverride w:ilvl="1"/>
    <w:lvlOverride w:ilvl="2"/>
    <w:lvlOverride w:ilvl="3"/>
    <w:lvlOverride w:ilvl="4"/>
    <w:lvlOverride w:ilvl="5"/>
    <w:lvlOverride w:ilvl="6"/>
    <w:lvlOverride w:ilvl="7"/>
    <w:lvlOverride w:ilvl="8"/>
  </w:num>
  <w:num w:numId="40">
    <w:abstractNumId w:val="10"/>
    <w:lvlOverride w:ilvl="0"/>
    <w:lvlOverride w:ilvl="1"/>
    <w:lvlOverride w:ilvl="2"/>
    <w:lvlOverride w:ilvl="3"/>
    <w:lvlOverride w:ilvl="4"/>
    <w:lvlOverride w:ilvl="5"/>
    <w:lvlOverride w:ilvl="6"/>
    <w:lvlOverride w:ilvl="7"/>
    <w:lvlOverride w:ilvl="8"/>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30"/>
    <w:rsid w:val="000005FE"/>
    <w:rsid w:val="0000060F"/>
    <w:rsid w:val="0000062D"/>
    <w:rsid w:val="00005367"/>
    <w:rsid w:val="000131A3"/>
    <w:rsid w:val="00013C0A"/>
    <w:rsid w:val="00014B89"/>
    <w:rsid w:val="00015CDF"/>
    <w:rsid w:val="000162BC"/>
    <w:rsid w:val="00016A1F"/>
    <w:rsid w:val="000173B3"/>
    <w:rsid w:val="00020D44"/>
    <w:rsid w:val="00021A39"/>
    <w:rsid w:val="00025E7D"/>
    <w:rsid w:val="00031C58"/>
    <w:rsid w:val="000333E8"/>
    <w:rsid w:val="00035DBA"/>
    <w:rsid w:val="00037C17"/>
    <w:rsid w:val="00041DB4"/>
    <w:rsid w:val="000429AC"/>
    <w:rsid w:val="00042B6A"/>
    <w:rsid w:val="00042B99"/>
    <w:rsid w:val="00045CB5"/>
    <w:rsid w:val="0004657A"/>
    <w:rsid w:val="00046F76"/>
    <w:rsid w:val="000516C4"/>
    <w:rsid w:val="000517C0"/>
    <w:rsid w:val="000538F4"/>
    <w:rsid w:val="00061444"/>
    <w:rsid w:val="0006186F"/>
    <w:rsid w:val="00063493"/>
    <w:rsid w:val="000637A6"/>
    <w:rsid w:val="00066BBA"/>
    <w:rsid w:val="00071509"/>
    <w:rsid w:val="00073365"/>
    <w:rsid w:val="000744E0"/>
    <w:rsid w:val="00074EE9"/>
    <w:rsid w:val="00081E21"/>
    <w:rsid w:val="00083DD5"/>
    <w:rsid w:val="0008659E"/>
    <w:rsid w:val="00092341"/>
    <w:rsid w:val="00092349"/>
    <w:rsid w:val="000A7265"/>
    <w:rsid w:val="000A7F05"/>
    <w:rsid w:val="000B1BC3"/>
    <w:rsid w:val="000B3727"/>
    <w:rsid w:val="000B3A41"/>
    <w:rsid w:val="000B6C05"/>
    <w:rsid w:val="000C20BD"/>
    <w:rsid w:val="000C2B24"/>
    <w:rsid w:val="000C3353"/>
    <w:rsid w:val="000C40BD"/>
    <w:rsid w:val="000C5547"/>
    <w:rsid w:val="000C5EA5"/>
    <w:rsid w:val="000D2C33"/>
    <w:rsid w:val="000D2DE0"/>
    <w:rsid w:val="000E03EB"/>
    <w:rsid w:val="000E1642"/>
    <w:rsid w:val="000E2C94"/>
    <w:rsid w:val="000E4AA4"/>
    <w:rsid w:val="000E625F"/>
    <w:rsid w:val="000F1119"/>
    <w:rsid w:val="000F2197"/>
    <w:rsid w:val="000F37BD"/>
    <w:rsid w:val="000F59E8"/>
    <w:rsid w:val="000F5C22"/>
    <w:rsid w:val="000F7C09"/>
    <w:rsid w:val="00100A19"/>
    <w:rsid w:val="0010113D"/>
    <w:rsid w:val="001045B6"/>
    <w:rsid w:val="0010462B"/>
    <w:rsid w:val="001066A8"/>
    <w:rsid w:val="0010681F"/>
    <w:rsid w:val="001070FF"/>
    <w:rsid w:val="0011007D"/>
    <w:rsid w:val="001102E2"/>
    <w:rsid w:val="00110604"/>
    <w:rsid w:val="00111011"/>
    <w:rsid w:val="00112B90"/>
    <w:rsid w:val="00121D29"/>
    <w:rsid w:val="00123AD3"/>
    <w:rsid w:val="001263BF"/>
    <w:rsid w:val="001265CF"/>
    <w:rsid w:val="00130191"/>
    <w:rsid w:val="001354B5"/>
    <w:rsid w:val="00135844"/>
    <w:rsid w:val="00135933"/>
    <w:rsid w:val="00136294"/>
    <w:rsid w:val="00136A51"/>
    <w:rsid w:val="00140513"/>
    <w:rsid w:val="001457BC"/>
    <w:rsid w:val="00146A17"/>
    <w:rsid w:val="00147019"/>
    <w:rsid w:val="00157BD7"/>
    <w:rsid w:val="0016074F"/>
    <w:rsid w:val="00163881"/>
    <w:rsid w:val="00163BA8"/>
    <w:rsid w:val="001659E4"/>
    <w:rsid w:val="00167EA0"/>
    <w:rsid w:val="0017076F"/>
    <w:rsid w:val="0017087B"/>
    <w:rsid w:val="001708B9"/>
    <w:rsid w:val="00170F48"/>
    <w:rsid w:val="0017280D"/>
    <w:rsid w:val="00172C5A"/>
    <w:rsid w:val="0017434B"/>
    <w:rsid w:val="001745A5"/>
    <w:rsid w:val="001757CE"/>
    <w:rsid w:val="00180BDA"/>
    <w:rsid w:val="0018108F"/>
    <w:rsid w:val="00185407"/>
    <w:rsid w:val="00186FC8"/>
    <w:rsid w:val="001903C4"/>
    <w:rsid w:val="00190A1C"/>
    <w:rsid w:val="00191486"/>
    <w:rsid w:val="00193BE3"/>
    <w:rsid w:val="001975EF"/>
    <w:rsid w:val="0019765A"/>
    <w:rsid w:val="001A45CF"/>
    <w:rsid w:val="001A472D"/>
    <w:rsid w:val="001A48B8"/>
    <w:rsid w:val="001A6D56"/>
    <w:rsid w:val="001B0F94"/>
    <w:rsid w:val="001B1B71"/>
    <w:rsid w:val="001B4494"/>
    <w:rsid w:val="001B4FC0"/>
    <w:rsid w:val="001B5C19"/>
    <w:rsid w:val="001B684B"/>
    <w:rsid w:val="001C2515"/>
    <w:rsid w:val="001C27DF"/>
    <w:rsid w:val="001D0241"/>
    <w:rsid w:val="001D03A7"/>
    <w:rsid w:val="001D21E5"/>
    <w:rsid w:val="001D5301"/>
    <w:rsid w:val="001D5A79"/>
    <w:rsid w:val="001D7F16"/>
    <w:rsid w:val="001E016B"/>
    <w:rsid w:val="001E377C"/>
    <w:rsid w:val="001E558C"/>
    <w:rsid w:val="001E6C8B"/>
    <w:rsid w:val="001E7D3E"/>
    <w:rsid w:val="001F38BE"/>
    <w:rsid w:val="001F489E"/>
    <w:rsid w:val="001F60F0"/>
    <w:rsid w:val="001F61B8"/>
    <w:rsid w:val="001F673A"/>
    <w:rsid w:val="001F6839"/>
    <w:rsid w:val="001F7765"/>
    <w:rsid w:val="00204CBA"/>
    <w:rsid w:val="00211AB1"/>
    <w:rsid w:val="00212852"/>
    <w:rsid w:val="00214048"/>
    <w:rsid w:val="00216CF6"/>
    <w:rsid w:val="00220CCF"/>
    <w:rsid w:val="002226D9"/>
    <w:rsid w:val="00223E35"/>
    <w:rsid w:val="00226734"/>
    <w:rsid w:val="00227F1F"/>
    <w:rsid w:val="00230B70"/>
    <w:rsid w:val="00231B44"/>
    <w:rsid w:val="00232AD1"/>
    <w:rsid w:val="002340B6"/>
    <w:rsid w:val="00234BA2"/>
    <w:rsid w:val="00235475"/>
    <w:rsid w:val="00235582"/>
    <w:rsid w:val="00237008"/>
    <w:rsid w:val="002370AB"/>
    <w:rsid w:val="00237872"/>
    <w:rsid w:val="0024202F"/>
    <w:rsid w:val="00243651"/>
    <w:rsid w:val="00244010"/>
    <w:rsid w:val="00245BD4"/>
    <w:rsid w:val="00247F07"/>
    <w:rsid w:val="00253D2A"/>
    <w:rsid w:val="00255891"/>
    <w:rsid w:val="00255D53"/>
    <w:rsid w:val="00255D5E"/>
    <w:rsid w:val="002564BE"/>
    <w:rsid w:val="00256F15"/>
    <w:rsid w:val="00256FA9"/>
    <w:rsid w:val="002651CA"/>
    <w:rsid w:val="002700A0"/>
    <w:rsid w:val="00277DBB"/>
    <w:rsid w:val="00280B8A"/>
    <w:rsid w:val="002814A6"/>
    <w:rsid w:val="00291CD2"/>
    <w:rsid w:val="00292EF0"/>
    <w:rsid w:val="002930B2"/>
    <w:rsid w:val="00294BBA"/>
    <w:rsid w:val="00295B52"/>
    <w:rsid w:val="00297214"/>
    <w:rsid w:val="002A30BE"/>
    <w:rsid w:val="002A75EA"/>
    <w:rsid w:val="002A7903"/>
    <w:rsid w:val="002B0144"/>
    <w:rsid w:val="002B1A8F"/>
    <w:rsid w:val="002B2376"/>
    <w:rsid w:val="002B4054"/>
    <w:rsid w:val="002B4D02"/>
    <w:rsid w:val="002B6D2E"/>
    <w:rsid w:val="002C06B3"/>
    <w:rsid w:val="002C15A0"/>
    <w:rsid w:val="002C2185"/>
    <w:rsid w:val="002C3FC1"/>
    <w:rsid w:val="002C5426"/>
    <w:rsid w:val="002C5FEA"/>
    <w:rsid w:val="002C690A"/>
    <w:rsid w:val="002C6F50"/>
    <w:rsid w:val="002D41F7"/>
    <w:rsid w:val="002D5F90"/>
    <w:rsid w:val="002E1C00"/>
    <w:rsid w:val="002E48E0"/>
    <w:rsid w:val="002E5DFD"/>
    <w:rsid w:val="002E7099"/>
    <w:rsid w:val="002E71B7"/>
    <w:rsid w:val="002F027D"/>
    <w:rsid w:val="002F179C"/>
    <w:rsid w:val="002F2771"/>
    <w:rsid w:val="002F279A"/>
    <w:rsid w:val="002F3167"/>
    <w:rsid w:val="002F4BD8"/>
    <w:rsid w:val="002F566A"/>
    <w:rsid w:val="003121C1"/>
    <w:rsid w:val="00312A52"/>
    <w:rsid w:val="00312AF8"/>
    <w:rsid w:val="00314451"/>
    <w:rsid w:val="00320EB1"/>
    <w:rsid w:val="003214B6"/>
    <w:rsid w:val="00322315"/>
    <w:rsid w:val="0032373B"/>
    <w:rsid w:val="00324E0F"/>
    <w:rsid w:val="00326A79"/>
    <w:rsid w:val="003306B8"/>
    <w:rsid w:val="00331D1F"/>
    <w:rsid w:val="00333A8A"/>
    <w:rsid w:val="00335CF3"/>
    <w:rsid w:val="00337680"/>
    <w:rsid w:val="00342A72"/>
    <w:rsid w:val="003447FA"/>
    <w:rsid w:val="0034614C"/>
    <w:rsid w:val="00350886"/>
    <w:rsid w:val="00354723"/>
    <w:rsid w:val="003552DE"/>
    <w:rsid w:val="0035565C"/>
    <w:rsid w:val="003567FB"/>
    <w:rsid w:val="003571F5"/>
    <w:rsid w:val="00357E4F"/>
    <w:rsid w:val="00364A9B"/>
    <w:rsid w:val="00364C1F"/>
    <w:rsid w:val="00365A43"/>
    <w:rsid w:val="003661BB"/>
    <w:rsid w:val="00367B44"/>
    <w:rsid w:val="00374E9A"/>
    <w:rsid w:val="00375229"/>
    <w:rsid w:val="00375EB8"/>
    <w:rsid w:val="00376AB2"/>
    <w:rsid w:val="00377AE4"/>
    <w:rsid w:val="003806C9"/>
    <w:rsid w:val="00381032"/>
    <w:rsid w:val="0038581F"/>
    <w:rsid w:val="00385F4A"/>
    <w:rsid w:val="003863C7"/>
    <w:rsid w:val="00387D4C"/>
    <w:rsid w:val="0039181B"/>
    <w:rsid w:val="0039216E"/>
    <w:rsid w:val="003923FD"/>
    <w:rsid w:val="003925FD"/>
    <w:rsid w:val="003A3F8E"/>
    <w:rsid w:val="003A494E"/>
    <w:rsid w:val="003A6239"/>
    <w:rsid w:val="003A6FBF"/>
    <w:rsid w:val="003B052E"/>
    <w:rsid w:val="003B3379"/>
    <w:rsid w:val="003B3C47"/>
    <w:rsid w:val="003B3F96"/>
    <w:rsid w:val="003B52E9"/>
    <w:rsid w:val="003B5F17"/>
    <w:rsid w:val="003B7992"/>
    <w:rsid w:val="003C12AF"/>
    <w:rsid w:val="003C237F"/>
    <w:rsid w:val="003C3075"/>
    <w:rsid w:val="003C34BB"/>
    <w:rsid w:val="003C4BE4"/>
    <w:rsid w:val="003C4DE4"/>
    <w:rsid w:val="003C6525"/>
    <w:rsid w:val="003C6ABB"/>
    <w:rsid w:val="003C7323"/>
    <w:rsid w:val="003D0767"/>
    <w:rsid w:val="003D1A80"/>
    <w:rsid w:val="003D38E7"/>
    <w:rsid w:val="003D3E33"/>
    <w:rsid w:val="003D4000"/>
    <w:rsid w:val="003D4800"/>
    <w:rsid w:val="003E138D"/>
    <w:rsid w:val="003E1820"/>
    <w:rsid w:val="003E49BA"/>
    <w:rsid w:val="003F14A6"/>
    <w:rsid w:val="003F2224"/>
    <w:rsid w:val="0040292C"/>
    <w:rsid w:val="00404121"/>
    <w:rsid w:val="00404297"/>
    <w:rsid w:val="004052BC"/>
    <w:rsid w:val="004066C3"/>
    <w:rsid w:val="00406BB3"/>
    <w:rsid w:val="00412575"/>
    <w:rsid w:val="004127B9"/>
    <w:rsid w:val="00412EA0"/>
    <w:rsid w:val="00413084"/>
    <w:rsid w:val="00421459"/>
    <w:rsid w:val="00422DD1"/>
    <w:rsid w:val="00425F58"/>
    <w:rsid w:val="00427897"/>
    <w:rsid w:val="00430222"/>
    <w:rsid w:val="004314E1"/>
    <w:rsid w:val="00432002"/>
    <w:rsid w:val="0044117C"/>
    <w:rsid w:val="00442A9B"/>
    <w:rsid w:val="00443656"/>
    <w:rsid w:val="00443B25"/>
    <w:rsid w:val="00444BB1"/>
    <w:rsid w:val="0044558B"/>
    <w:rsid w:val="004509E3"/>
    <w:rsid w:val="004513B9"/>
    <w:rsid w:val="00451AD9"/>
    <w:rsid w:val="004575CB"/>
    <w:rsid w:val="00460416"/>
    <w:rsid w:val="00463649"/>
    <w:rsid w:val="0046630F"/>
    <w:rsid w:val="00467802"/>
    <w:rsid w:val="00470584"/>
    <w:rsid w:val="00472E38"/>
    <w:rsid w:val="00473530"/>
    <w:rsid w:val="00473614"/>
    <w:rsid w:val="004820D9"/>
    <w:rsid w:val="004829BD"/>
    <w:rsid w:val="00482C7D"/>
    <w:rsid w:val="004834BD"/>
    <w:rsid w:val="0048369A"/>
    <w:rsid w:val="00485EDC"/>
    <w:rsid w:val="004860A3"/>
    <w:rsid w:val="00486736"/>
    <w:rsid w:val="0049053D"/>
    <w:rsid w:val="004973D3"/>
    <w:rsid w:val="004A0DCC"/>
    <w:rsid w:val="004A1A74"/>
    <w:rsid w:val="004A4E6C"/>
    <w:rsid w:val="004A6C6D"/>
    <w:rsid w:val="004B6080"/>
    <w:rsid w:val="004C0DA7"/>
    <w:rsid w:val="004C11F6"/>
    <w:rsid w:val="004C2616"/>
    <w:rsid w:val="004C5D1B"/>
    <w:rsid w:val="004C5EEF"/>
    <w:rsid w:val="004C62D1"/>
    <w:rsid w:val="004D159E"/>
    <w:rsid w:val="004D1F57"/>
    <w:rsid w:val="004D2D8D"/>
    <w:rsid w:val="004D49A7"/>
    <w:rsid w:val="004D49FC"/>
    <w:rsid w:val="004D7437"/>
    <w:rsid w:val="004D753A"/>
    <w:rsid w:val="004D7E85"/>
    <w:rsid w:val="004E6CD0"/>
    <w:rsid w:val="004F253E"/>
    <w:rsid w:val="004F366A"/>
    <w:rsid w:val="004F47B4"/>
    <w:rsid w:val="004F4A4B"/>
    <w:rsid w:val="004F6511"/>
    <w:rsid w:val="00501EFF"/>
    <w:rsid w:val="00502E61"/>
    <w:rsid w:val="00502F4D"/>
    <w:rsid w:val="00506A88"/>
    <w:rsid w:val="00512184"/>
    <w:rsid w:val="005127D3"/>
    <w:rsid w:val="005143FD"/>
    <w:rsid w:val="00521A6C"/>
    <w:rsid w:val="0052273D"/>
    <w:rsid w:val="00524F83"/>
    <w:rsid w:val="00526863"/>
    <w:rsid w:val="00526B4A"/>
    <w:rsid w:val="005270F9"/>
    <w:rsid w:val="00532D2B"/>
    <w:rsid w:val="0053447E"/>
    <w:rsid w:val="00535B8C"/>
    <w:rsid w:val="0053681B"/>
    <w:rsid w:val="00536ADD"/>
    <w:rsid w:val="005379BF"/>
    <w:rsid w:val="00540427"/>
    <w:rsid w:val="0054105B"/>
    <w:rsid w:val="00542505"/>
    <w:rsid w:val="00543BA8"/>
    <w:rsid w:val="00543ED3"/>
    <w:rsid w:val="00544D24"/>
    <w:rsid w:val="00557EB3"/>
    <w:rsid w:val="00561BEF"/>
    <w:rsid w:val="00563441"/>
    <w:rsid w:val="00563791"/>
    <w:rsid w:val="00563C6F"/>
    <w:rsid w:val="00564622"/>
    <w:rsid w:val="00564F21"/>
    <w:rsid w:val="0056514C"/>
    <w:rsid w:val="005664A0"/>
    <w:rsid w:val="00573556"/>
    <w:rsid w:val="00573D2F"/>
    <w:rsid w:val="005766A6"/>
    <w:rsid w:val="005843DE"/>
    <w:rsid w:val="005845CE"/>
    <w:rsid w:val="00584ADF"/>
    <w:rsid w:val="00585334"/>
    <w:rsid w:val="005855A1"/>
    <w:rsid w:val="00587688"/>
    <w:rsid w:val="00593BF7"/>
    <w:rsid w:val="005967D7"/>
    <w:rsid w:val="0059682F"/>
    <w:rsid w:val="005969FB"/>
    <w:rsid w:val="005A2F04"/>
    <w:rsid w:val="005A3B33"/>
    <w:rsid w:val="005A5208"/>
    <w:rsid w:val="005A6392"/>
    <w:rsid w:val="005A65A5"/>
    <w:rsid w:val="005A6C59"/>
    <w:rsid w:val="005B0547"/>
    <w:rsid w:val="005B300B"/>
    <w:rsid w:val="005B58BD"/>
    <w:rsid w:val="005B6B53"/>
    <w:rsid w:val="005B7703"/>
    <w:rsid w:val="005C23D6"/>
    <w:rsid w:val="005D2BF7"/>
    <w:rsid w:val="005D31A3"/>
    <w:rsid w:val="005D52CF"/>
    <w:rsid w:val="005D5512"/>
    <w:rsid w:val="005D6407"/>
    <w:rsid w:val="005E3501"/>
    <w:rsid w:val="005E6723"/>
    <w:rsid w:val="005F2682"/>
    <w:rsid w:val="005F3D7B"/>
    <w:rsid w:val="005F525A"/>
    <w:rsid w:val="005F54F5"/>
    <w:rsid w:val="005F68FD"/>
    <w:rsid w:val="005F74C0"/>
    <w:rsid w:val="00603019"/>
    <w:rsid w:val="00605199"/>
    <w:rsid w:val="00605C02"/>
    <w:rsid w:val="0061215A"/>
    <w:rsid w:val="0061396C"/>
    <w:rsid w:val="006170F6"/>
    <w:rsid w:val="00624C5E"/>
    <w:rsid w:val="00626C52"/>
    <w:rsid w:val="00626FD8"/>
    <w:rsid w:val="00634192"/>
    <w:rsid w:val="006427A0"/>
    <w:rsid w:val="00643401"/>
    <w:rsid w:val="006452B5"/>
    <w:rsid w:val="006464CD"/>
    <w:rsid w:val="0064751E"/>
    <w:rsid w:val="00647D69"/>
    <w:rsid w:val="00650D85"/>
    <w:rsid w:val="00650FD5"/>
    <w:rsid w:val="006528C9"/>
    <w:rsid w:val="00655FFB"/>
    <w:rsid w:val="00656274"/>
    <w:rsid w:val="00656F10"/>
    <w:rsid w:val="006616DC"/>
    <w:rsid w:val="00665E67"/>
    <w:rsid w:val="00666D99"/>
    <w:rsid w:val="006673E8"/>
    <w:rsid w:val="00670028"/>
    <w:rsid w:val="00670970"/>
    <w:rsid w:val="00671EC0"/>
    <w:rsid w:val="00676F48"/>
    <w:rsid w:val="00677160"/>
    <w:rsid w:val="0067770B"/>
    <w:rsid w:val="00677A18"/>
    <w:rsid w:val="006821E6"/>
    <w:rsid w:val="00686056"/>
    <w:rsid w:val="0068654F"/>
    <w:rsid w:val="00687DA1"/>
    <w:rsid w:val="00691C32"/>
    <w:rsid w:val="00692223"/>
    <w:rsid w:val="006A1BF3"/>
    <w:rsid w:val="006A1D32"/>
    <w:rsid w:val="006A473D"/>
    <w:rsid w:val="006A5A9D"/>
    <w:rsid w:val="006A6279"/>
    <w:rsid w:val="006A64B0"/>
    <w:rsid w:val="006B0513"/>
    <w:rsid w:val="006B05ED"/>
    <w:rsid w:val="006B16E0"/>
    <w:rsid w:val="006B24BB"/>
    <w:rsid w:val="006B30D1"/>
    <w:rsid w:val="006B4004"/>
    <w:rsid w:val="006B4816"/>
    <w:rsid w:val="006B6EB4"/>
    <w:rsid w:val="006C12F7"/>
    <w:rsid w:val="006C4B90"/>
    <w:rsid w:val="006C5AD3"/>
    <w:rsid w:val="006C617F"/>
    <w:rsid w:val="006D1DB1"/>
    <w:rsid w:val="006D2C86"/>
    <w:rsid w:val="006D2CCA"/>
    <w:rsid w:val="006D6A17"/>
    <w:rsid w:val="006E2FA5"/>
    <w:rsid w:val="006E3221"/>
    <w:rsid w:val="006E5B11"/>
    <w:rsid w:val="006E7358"/>
    <w:rsid w:val="006F5115"/>
    <w:rsid w:val="006F66DF"/>
    <w:rsid w:val="006F6D75"/>
    <w:rsid w:val="00705766"/>
    <w:rsid w:val="0070671A"/>
    <w:rsid w:val="00706E27"/>
    <w:rsid w:val="00711CDC"/>
    <w:rsid w:val="0071213F"/>
    <w:rsid w:val="00714960"/>
    <w:rsid w:val="007172D9"/>
    <w:rsid w:val="00720888"/>
    <w:rsid w:val="00720A17"/>
    <w:rsid w:val="0072138D"/>
    <w:rsid w:val="00726832"/>
    <w:rsid w:val="0072746D"/>
    <w:rsid w:val="007312AA"/>
    <w:rsid w:val="007342AA"/>
    <w:rsid w:val="00734C1B"/>
    <w:rsid w:val="007408CA"/>
    <w:rsid w:val="00742BA9"/>
    <w:rsid w:val="007460A4"/>
    <w:rsid w:val="00750D3B"/>
    <w:rsid w:val="00750F80"/>
    <w:rsid w:val="007516F0"/>
    <w:rsid w:val="0075197C"/>
    <w:rsid w:val="00753A99"/>
    <w:rsid w:val="007550AB"/>
    <w:rsid w:val="00756E07"/>
    <w:rsid w:val="007604FB"/>
    <w:rsid w:val="007653DA"/>
    <w:rsid w:val="0076614E"/>
    <w:rsid w:val="00767FF2"/>
    <w:rsid w:val="00773725"/>
    <w:rsid w:val="007739C0"/>
    <w:rsid w:val="00776F43"/>
    <w:rsid w:val="0078427C"/>
    <w:rsid w:val="00784EB7"/>
    <w:rsid w:val="00792794"/>
    <w:rsid w:val="0079305A"/>
    <w:rsid w:val="00796D05"/>
    <w:rsid w:val="007A1421"/>
    <w:rsid w:val="007A1D1C"/>
    <w:rsid w:val="007A1E84"/>
    <w:rsid w:val="007A211F"/>
    <w:rsid w:val="007A30C4"/>
    <w:rsid w:val="007A6FE8"/>
    <w:rsid w:val="007A7E33"/>
    <w:rsid w:val="007B197A"/>
    <w:rsid w:val="007B29C4"/>
    <w:rsid w:val="007B2FB1"/>
    <w:rsid w:val="007B4AD8"/>
    <w:rsid w:val="007B6CCD"/>
    <w:rsid w:val="007C008A"/>
    <w:rsid w:val="007C0C20"/>
    <w:rsid w:val="007C2A5C"/>
    <w:rsid w:val="007C69DC"/>
    <w:rsid w:val="007C7944"/>
    <w:rsid w:val="007C7C55"/>
    <w:rsid w:val="007D7A4D"/>
    <w:rsid w:val="007E03C0"/>
    <w:rsid w:val="007E2034"/>
    <w:rsid w:val="007E2836"/>
    <w:rsid w:val="007E568A"/>
    <w:rsid w:val="007E651C"/>
    <w:rsid w:val="007F0D03"/>
    <w:rsid w:val="007F4828"/>
    <w:rsid w:val="008005C8"/>
    <w:rsid w:val="008006BE"/>
    <w:rsid w:val="00800F7D"/>
    <w:rsid w:val="00801BCD"/>
    <w:rsid w:val="00802289"/>
    <w:rsid w:val="00802876"/>
    <w:rsid w:val="0080397A"/>
    <w:rsid w:val="00807054"/>
    <w:rsid w:val="0080728A"/>
    <w:rsid w:val="008117D0"/>
    <w:rsid w:val="00812D6B"/>
    <w:rsid w:val="00813DBC"/>
    <w:rsid w:val="00813F7A"/>
    <w:rsid w:val="00821F18"/>
    <w:rsid w:val="00822995"/>
    <w:rsid w:val="00822FC7"/>
    <w:rsid w:val="00824FEC"/>
    <w:rsid w:val="00825CB7"/>
    <w:rsid w:val="0082696E"/>
    <w:rsid w:val="00830A4F"/>
    <w:rsid w:val="0083625B"/>
    <w:rsid w:val="0083784E"/>
    <w:rsid w:val="00841D47"/>
    <w:rsid w:val="00843267"/>
    <w:rsid w:val="0084432D"/>
    <w:rsid w:val="008443BF"/>
    <w:rsid w:val="0084530F"/>
    <w:rsid w:val="00850BE5"/>
    <w:rsid w:val="00852287"/>
    <w:rsid w:val="00853567"/>
    <w:rsid w:val="00855A9A"/>
    <w:rsid w:val="00855E24"/>
    <w:rsid w:val="00856A0E"/>
    <w:rsid w:val="00861870"/>
    <w:rsid w:val="008631CE"/>
    <w:rsid w:val="0086443E"/>
    <w:rsid w:val="00872FD2"/>
    <w:rsid w:val="00873D35"/>
    <w:rsid w:val="00876869"/>
    <w:rsid w:val="00893A66"/>
    <w:rsid w:val="00894F9A"/>
    <w:rsid w:val="00896BD0"/>
    <w:rsid w:val="00897E23"/>
    <w:rsid w:val="008B26FD"/>
    <w:rsid w:val="008B2E86"/>
    <w:rsid w:val="008B2F37"/>
    <w:rsid w:val="008B3CF0"/>
    <w:rsid w:val="008C0EAA"/>
    <w:rsid w:val="008C2533"/>
    <w:rsid w:val="008C58E8"/>
    <w:rsid w:val="008C5A91"/>
    <w:rsid w:val="008D24E1"/>
    <w:rsid w:val="008D610F"/>
    <w:rsid w:val="008E23CC"/>
    <w:rsid w:val="008E2830"/>
    <w:rsid w:val="008E3008"/>
    <w:rsid w:val="008E7B8E"/>
    <w:rsid w:val="008E7ED3"/>
    <w:rsid w:val="008F31BA"/>
    <w:rsid w:val="008F377A"/>
    <w:rsid w:val="008F4E81"/>
    <w:rsid w:val="008F5810"/>
    <w:rsid w:val="008F7BA8"/>
    <w:rsid w:val="00904097"/>
    <w:rsid w:val="009053F7"/>
    <w:rsid w:val="00905422"/>
    <w:rsid w:val="009066A6"/>
    <w:rsid w:val="009070D1"/>
    <w:rsid w:val="00911AB0"/>
    <w:rsid w:val="00913D0E"/>
    <w:rsid w:val="0092483B"/>
    <w:rsid w:val="00930258"/>
    <w:rsid w:val="00930583"/>
    <w:rsid w:val="00930A39"/>
    <w:rsid w:val="0093231E"/>
    <w:rsid w:val="00934055"/>
    <w:rsid w:val="009347CD"/>
    <w:rsid w:val="009350F0"/>
    <w:rsid w:val="009412BF"/>
    <w:rsid w:val="009419A4"/>
    <w:rsid w:val="009423C5"/>
    <w:rsid w:val="00943BA0"/>
    <w:rsid w:val="00952D32"/>
    <w:rsid w:val="00954645"/>
    <w:rsid w:val="00956E68"/>
    <w:rsid w:val="00957BA0"/>
    <w:rsid w:val="00960968"/>
    <w:rsid w:val="00961F34"/>
    <w:rsid w:val="00971261"/>
    <w:rsid w:val="0097715F"/>
    <w:rsid w:val="00977BEA"/>
    <w:rsid w:val="00982B9A"/>
    <w:rsid w:val="009832DD"/>
    <w:rsid w:val="009909A1"/>
    <w:rsid w:val="00991538"/>
    <w:rsid w:val="00992A4B"/>
    <w:rsid w:val="0099372E"/>
    <w:rsid w:val="00994C96"/>
    <w:rsid w:val="00995104"/>
    <w:rsid w:val="00995D30"/>
    <w:rsid w:val="009960F2"/>
    <w:rsid w:val="00997E1F"/>
    <w:rsid w:val="009A0464"/>
    <w:rsid w:val="009A44A5"/>
    <w:rsid w:val="009B058D"/>
    <w:rsid w:val="009B139F"/>
    <w:rsid w:val="009B2D95"/>
    <w:rsid w:val="009B452A"/>
    <w:rsid w:val="009B4EA8"/>
    <w:rsid w:val="009B60B8"/>
    <w:rsid w:val="009B78B3"/>
    <w:rsid w:val="009C403B"/>
    <w:rsid w:val="009C502B"/>
    <w:rsid w:val="009C6C16"/>
    <w:rsid w:val="009D3564"/>
    <w:rsid w:val="009D5174"/>
    <w:rsid w:val="009D57E3"/>
    <w:rsid w:val="009D7F97"/>
    <w:rsid w:val="009E0038"/>
    <w:rsid w:val="009E006D"/>
    <w:rsid w:val="009E02B4"/>
    <w:rsid w:val="009E0A65"/>
    <w:rsid w:val="009E19DE"/>
    <w:rsid w:val="009E34EE"/>
    <w:rsid w:val="009E5122"/>
    <w:rsid w:val="009E66CE"/>
    <w:rsid w:val="009E6D3B"/>
    <w:rsid w:val="009E6E8A"/>
    <w:rsid w:val="00A043CA"/>
    <w:rsid w:val="00A063EE"/>
    <w:rsid w:val="00A12074"/>
    <w:rsid w:val="00A13F7C"/>
    <w:rsid w:val="00A161A4"/>
    <w:rsid w:val="00A17957"/>
    <w:rsid w:val="00A21B8A"/>
    <w:rsid w:val="00A2213E"/>
    <w:rsid w:val="00A22C63"/>
    <w:rsid w:val="00A253B8"/>
    <w:rsid w:val="00A30FC3"/>
    <w:rsid w:val="00A31E80"/>
    <w:rsid w:val="00A32258"/>
    <w:rsid w:val="00A33333"/>
    <w:rsid w:val="00A3485B"/>
    <w:rsid w:val="00A3722C"/>
    <w:rsid w:val="00A37554"/>
    <w:rsid w:val="00A43B3E"/>
    <w:rsid w:val="00A5359B"/>
    <w:rsid w:val="00A6066A"/>
    <w:rsid w:val="00A62940"/>
    <w:rsid w:val="00A659E1"/>
    <w:rsid w:val="00A704B4"/>
    <w:rsid w:val="00A72172"/>
    <w:rsid w:val="00A72778"/>
    <w:rsid w:val="00A7281A"/>
    <w:rsid w:val="00A80E26"/>
    <w:rsid w:val="00A82094"/>
    <w:rsid w:val="00A85445"/>
    <w:rsid w:val="00A900CC"/>
    <w:rsid w:val="00A9095F"/>
    <w:rsid w:val="00A94861"/>
    <w:rsid w:val="00A958FA"/>
    <w:rsid w:val="00A97EDE"/>
    <w:rsid w:val="00AA34E3"/>
    <w:rsid w:val="00AA4905"/>
    <w:rsid w:val="00AA538C"/>
    <w:rsid w:val="00AA6EEE"/>
    <w:rsid w:val="00AA7778"/>
    <w:rsid w:val="00AB32A9"/>
    <w:rsid w:val="00AB3CA3"/>
    <w:rsid w:val="00AB3DD5"/>
    <w:rsid w:val="00AC02AA"/>
    <w:rsid w:val="00AC1D94"/>
    <w:rsid w:val="00AC2081"/>
    <w:rsid w:val="00AD1749"/>
    <w:rsid w:val="00AD4BFC"/>
    <w:rsid w:val="00AD6475"/>
    <w:rsid w:val="00AE0FC7"/>
    <w:rsid w:val="00AE1530"/>
    <w:rsid w:val="00AE19B7"/>
    <w:rsid w:val="00AE30D7"/>
    <w:rsid w:val="00AE668B"/>
    <w:rsid w:val="00AE6C40"/>
    <w:rsid w:val="00AE710A"/>
    <w:rsid w:val="00AE733C"/>
    <w:rsid w:val="00AF2A10"/>
    <w:rsid w:val="00AF34A3"/>
    <w:rsid w:val="00B007B4"/>
    <w:rsid w:val="00B020E4"/>
    <w:rsid w:val="00B055B1"/>
    <w:rsid w:val="00B0660D"/>
    <w:rsid w:val="00B06697"/>
    <w:rsid w:val="00B07477"/>
    <w:rsid w:val="00B137F1"/>
    <w:rsid w:val="00B176C3"/>
    <w:rsid w:val="00B20E03"/>
    <w:rsid w:val="00B24064"/>
    <w:rsid w:val="00B253A1"/>
    <w:rsid w:val="00B262AB"/>
    <w:rsid w:val="00B2702C"/>
    <w:rsid w:val="00B30D35"/>
    <w:rsid w:val="00B33CB7"/>
    <w:rsid w:val="00B352FA"/>
    <w:rsid w:val="00B36B5C"/>
    <w:rsid w:val="00B36D31"/>
    <w:rsid w:val="00B3754E"/>
    <w:rsid w:val="00B43146"/>
    <w:rsid w:val="00B43EEE"/>
    <w:rsid w:val="00B44A23"/>
    <w:rsid w:val="00B45159"/>
    <w:rsid w:val="00B46969"/>
    <w:rsid w:val="00B47A1D"/>
    <w:rsid w:val="00B47CC0"/>
    <w:rsid w:val="00B508A8"/>
    <w:rsid w:val="00B518A0"/>
    <w:rsid w:val="00B55B9C"/>
    <w:rsid w:val="00B600A5"/>
    <w:rsid w:val="00B615EA"/>
    <w:rsid w:val="00B617CD"/>
    <w:rsid w:val="00B61848"/>
    <w:rsid w:val="00B6324A"/>
    <w:rsid w:val="00B66FC9"/>
    <w:rsid w:val="00B71759"/>
    <w:rsid w:val="00B7211E"/>
    <w:rsid w:val="00B7599D"/>
    <w:rsid w:val="00B76712"/>
    <w:rsid w:val="00B76AF5"/>
    <w:rsid w:val="00B7734A"/>
    <w:rsid w:val="00B77C4F"/>
    <w:rsid w:val="00B77CB6"/>
    <w:rsid w:val="00B805E0"/>
    <w:rsid w:val="00B87C07"/>
    <w:rsid w:val="00B955FF"/>
    <w:rsid w:val="00B962CB"/>
    <w:rsid w:val="00BA03EA"/>
    <w:rsid w:val="00BA5F35"/>
    <w:rsid w:val="00BA6454"/>
    <w:rsid w:val="00BB17E6"/>
    <w:rsid w:val="00BB3518"/>
    <w:rsid w:val="00BB3B47"/>
    <w:rsid w:val="00BB4A7A"/>
    <w:rsid w:val="00BB6CB3"/>
    <w:rsid w:val="00BB7632"/>
    <w:rsid w:val="00BC0047"/>
    <w:rsid w:val="00BC09AD"/>
    <w:rsid w:val="00BC17DC"/>
    <w:rsid w:val="00BC1C76"/>
    <w:rsid w:val="00BC266F"/>
    <w:rsid w:val="00BC34BB"/>
    <w:rsid w:val="00BC39D2"/>
    <w:rsid w:val="00BC547A"/>
    <w:rsid w:val="00BC7685"/>
    <w:rsid w:val="00BD11F9"/>
    <w:rsid w:val="00BD1EAB"/>
    <w:rsid w:val="00BD2206"/>
    <w:rsid w:val="00BD60EA"/>
    <w:rsid w:val="00BD6784"/>
    <w:rsid w:val="00BD7C1F"/>
    <w:rsid w:val="00BE3894"/>
    <w:rsid w:val="00BE48D2"/>
    <w:rsid w:val="00BE6F1B"/>
    <w:rsid w:val="00BE77B1"/>
    <w:rsid w:val="00BF67EE"/>
    <w:rsid w:val="00BF6F8B"/>
    <w:rsid w:val="00C0226D"/>
    <w:rsid w:val="00C04DCF"/>
    <w:rsid w:val="00C04F0F"/>
    <w:rsid w:val="00C06177"/>
    <w:rsid w:val="00C075EA"/>
    <w:rsid w:val="00C12258"/>
    <w:rsid w:val="00C12305"/>
    <w:rsid w:val="00C14C5A"/>
    <w:rsid w:val="00C158DA"/>
    <w:rsid w:val="00C23990"/>
    <w:rsid w:val="00C244CE"/>
    <w:rsid w:val="00C25EC1"/>
    <w:rsid w:val="00C33DF0"/>
    <w:rsid w:val="00C34C43"/>
    <w:rsid w:val="00C41134"/>
    <w:rsid w:val="00C41BEB"/>
    <w:rsid w:val="00C43367"/>
    <w:rsid w:val="00C442F2"/>
    <w:rsid w:val="00C45625"/>
    <w:rsid w:val="00C456AE"/>
    <w:rsid w:val="00C50A26"/>
    <w:rsid w:val="00C61AC6"/>
    <w:rsid w:val="00C61B6B"/>
    <w:rsid w:val="00C623AA"/>
    <w:rsid w:val="00C6394D"/>
    <w:rsid w:val="00C648C7"/>
    <w:rsid w:val="00C67491"/>
    <w:rsid w:val="00C67530"/>
    <w:rsid w:val="00C702C7"/>
    <w:rsid w:val="00C72DF4"/>
    <w:rsid w:val="00C73A96"/>
    <w:rsid w:val="00C7429C"/>
    <w:rsid w:val="00C762EB"/>
    <w:rsid w:val="00C77DEA"/>
    <w:rsid w:val="00C81837"/>
    <w:rsid w:val="00C85FC4"/>
    <w:rsid w:val="00C8703B"/>
    <w:rsid w:val="00C94C4A"/>
    <w:rsid w:val="00CA1AD8"/>
    <w:rsid w:val="00CA4E63"/>
    <w:rsid w:val="00CA5B05"/>
    <w:rsid w:val="00CA6553"/>
    <w:rsid w:val="00CB2C16"/>
    <w:rsid w:val="00CB31E0"/>
    <w:rsid w:val="00CB4E61"/>
    <w:rsid w:val="00CB5ACF"/>
    <w:rsid w:val="00CC0231"/>
    <w:rsid w:val="00CC2A1A"/>
    <w:rsid w:val="00CC58E8"/>
    <w:rsid w:val="00CC5E8F"/>
    <w:rsid w:val="00CC69B1"/>
    <w:rsid w:val="00CD14A8"/>
    <w:rsid w:val="00CD5842"/>
    <w:rsid w:val="00CE1D9F"/>
    <w:rsid w:val="00CE1E1B"/>
    <w:rsid w:val="00CE4214"/>
    <w:rsid w:val="00CF07A9"/>
    <w:rsid w:val="00CF084F"/>
    <w:rsid w:val="00CF3C31"/>
    <w:rsid w:val="00CF3CA4"/>
    <w:rsid w:val="00CF3EA1"/>
    <w:rsid w:val="00CF546E"/>
    <w:rsid w:val="00CF7BB7"/>
    <w:rsid w:val="00CF7F7F"/>
    <w:rsid w:val="00D0023B"/>
    <w:rsid w:val="00D002E3"/>
    <w:rsid w:val="00D0038F"/>
    <w:rsid w:val="00D01239"/>
    <w:rsid w:val="00D01AD8"/>
    <w:rsid w:val="00D03C22"/>
    <w:rsid w:val="00D05AF5"/>
    <w:rsid w:val="00D10E36"/>
    <w:rsid w:val="00D116E0"/>
    <w:rsid w:val="00D149B4"/>
    <w:rsid w:val="00D15035"/>
    <w:rsid w:val="00D15EC1"/>
    <w:rsid w:val="00D16C23"/>
    <w:rsid w:val="00D173FA"/>
    <w:rsid w:val="00D20D13"/>
    <w:rsid w:val="00D21E24"/>
    <w:rsid w:val="00D224C4"/>
    <w:rsid w:val="00D236E8"/>
    <w:rsid w:val="00D27B73"/>
    <w:rsid w:val="00D32371"/>
    <w:rsid w:val="00D329DF"/>
    <w:rsid w:val="00D33A2B"/>
    <w:rsid w:val="00D35C72"/>
    <w:rsid w:val="00D36E73"/>
    <w:rsid w:val="00D407CA"/>
    <w:rsid w:val="00D41E6A"/>
    <w:rsid w:val="00D4226D"/>
    <w:rsid w:val="00D4280C"/>
    <w:rsid w:val="00D445B7"/>
    <w:rsid w:val="00D46CC5"/>
    <w:rsid w:val="00D5038F"/>
    <w:rsid w:val="00D5297D"/>
    <w:rsid w:val="00D52A6A"/>
    <w:rsid w:val="00D53D4E"/>
    <w:rsid w:val="00D55351"/>
    <w:rsid w:val="00D574B4"/>
    <w:rsid w:val="00D61DFC"/>
    <w:rsid w:val="00D6230E"/>
    <w:rsid w:val="00D668FE"/>
    <w:rsid w:val="00D710FC"/>
    <w:rsid w:val="00D71149"/>
    <w:rsid w:val="00D7145E"/>
    <w:rsid w:val="00D732C2"/>
    <w:rsid w:val="00D74462"/>
    <w:rsid w:val="00D746F4"/>
    <w:rsid w:val="00D768FD"/>
    <w:rsid w:val="00D7732D"/>
    <w:rsid w:val="00D77643"/>
    <w:rsid w:val="00D80683"/>
    <w:rsid w:val="00D812B0"/>
    <w:rsid w:val="00D815D0"/>
    <w:rsid w:val="00D8495C"/>
    <w:rsid w:val="00D855FD"/>
    <w:rsid w:val="00D859E3"/>
    <w:rsid w:val="00D91C72"/>
    <w:rsid w:val="00DA1962"/>
    <w:rsid w:val="00DA37E3"/>
    <w:rsid w:val="00DA53B6"/>
    <w:rsid w:val="00DB0CB1"/>
    <w:rsid w:val="00DB5CC2"/>
    <w:rsid w:val="00DB5D79"/>
    <w:rsid w:val="00DB651C"/>
    <w:rsid w:val="00DC1476"/>
    <w:rsid w:val="00DC1D59"/>
    <w:rsid w:val="00DC442A"/>
    <w:rsid w:val="00DC4D91"/>
    <w:rsid w:val="00DC65D0"/>
    <w:rsid w:val="00DC708A"/>
    <w:rsid w:val="00DD22B6"/>
    <w:rsid w:val="00DD5A1B"/>
    <w:rsid w:val="00DD6C67"/>
    <w:rsid w:val="00DD715C"/>
    <w:rsid w:val="00DE18BC"/>
    <w:rsid w:val="00DE2D71"/>
    <w:rsid w:val="00DE65BA"/>
    <w:rsid w:val="00DF4B62"/>
    <w:rsid w:val="00DF6613"/>
    <w:rsid w:val="00E03859"/>
    <w:rsid w:val="00E0517E"/>
    <w:rsid w:val="00E1161E"/>
    <w:rsid w:val="00E13B23"/>
    <w:rsid w:val="00E15DEF"/>
    <w:rsid w:val="00E15E9E"/>
    <w:rsid w:val="00E254D5"/>
    <w:rsid w:val="00E26113"/>
    <w:rsid w:val="00E266A4"/>
    <w:rsid w:val="00E27D68"/>
    <w:rsid w:val="00E3012E"/>
    <w:rsid w:val="00E307B8"/>
    <w:rsid w:val="00E32621"/>
    <w:rsid w:val="00E35306"/>
    <w:rsid w:val="00E35847"/>
    <w:rsid w:val="00E36C7A"/>
    <w:rsid w:val="00E4362E"/>
    <w:rsid w:val="00E455A1"/>
    <w:rsid w:val="00E50493"/>
    <w:rsid w:val="00E50521"/>
    <w:rsid w:val="00E51605"/>
    <w:rsid w:val="00E54BEF"/>
    <w:rsid w:val="00E567CD"/>
    <w:rsid w:val="00E56993"/>
    <w:rsid w:val="00E56F4A"/>
    <w:rsid w:val="00E63428"/>
    <w:rsid w:val="00E65900"/>
    <w:rsid w:val="00E70528"/>
    <w:rsid w:val="00E751FE"/>
    <w:rsid w:val="00E7797E"/>
    <w:rsid w:val="00E82807"/>
    <w:rsid w:val="00E86A36"/>
    <w:rsid w:val="00E87432"/>
    <w:rsid w:val="00E91944"/>
    <w:rsid w:val="00E91BBA"/>
    <w:rsid w:val="00E943B8"/>
    <w:rsid w:val="00E94C20"/>
    <w:rsid w:val="00EA267B"/>
    <w:rsid w:val="00EA300D"/>
    <w:rsid w:val="00EA3090"/>
    <w:rsid w:val="00EA480E"/>
    <w:rsid w:val="00EA494E"/>
    <w:rsid w:val="00EA4BCA"/>
    <w:rsid w:val="00EA6B39"/>
    <w:rsid w:val="00EB209E"/>
    <w:rsid w:val="00EB332C"/>
    <w:rsid w:val="00EB5CD1"/>
    <w:rsid w:val="00EB723B"/>
    <w:rsid w:val="00EB767D"/>
    <w:rsid w:val="00EB7ED6"/>
    <w:rsid w:val="00EC2F2C"/>
    <w:rsid w:val="00EC3A94"/>
    <w:rsid w:val="00EC63E3"/>
    <w:rsid w:val="00EC6CC9"/>
    <w:rsid w:val="00ED3636"/>
    <w:rsid w:val="00ED5DBC"/>
    <w:rsid w:val="00EE16D4"/>
    <w:rsid w:val="00EE2C5B"/>
    <w:rsid w:val="00EE2C87"/>
    <w:rsid w:val="00EE61A2"/>
    <w:rsid w:val="00EF08E4"/>
    <w:rsid w:val="00EF0925"/>
    <w:rsid w:val="00EF0A8D"/>
    <w:rsid w:val="00EF35EF"/>
    <w:rsid w:val="00EF4086"/>
    <w:rsid w:val="00EF461B"/>
    <w:rsid w:val="00EF727C"/>
    <w:rsid w:val="00EF72E4"/>
    <w:rsid w:val="00F04206"/>
    <w:rsid w:val="00F045B9"/>
    <w:rsid w:val="00F05C7B"/>
    <w:rsid w:val="00F063B4"/>
    <w:rsid w:val="00F1389A"/>
    <w:rsid w:val="00F140DF"/>
    <w:rsid w:val="00F1518C"/>
    <w:rsid w:val="00F15D66"/>
    <w:rsid w:val="00F15F5C"/>
    <w:rsid w:val="00F15F76"/>
    <w:rsid w:val="00F17283"/>
    <w:rsid w:val="00F23266"/>
    <w:rsid w:val="00F2670D"/>
    <w:rsid w:val="00F26D2D"/>
    <w:rsid w:val="00F30144"/>
    <w:rsid w:val="00F3081C"/>
    <w:rsid w:val="00F3328F"/>
    <w:rsid w:val="00F34FF2"/>
    <w:rsid w:val="00F4040E"/>
    <w:rsid w:val="00F448EC"/>
    <w:rsid w:val="00F44C47"/>
    <w:rsid w:val="00F45EF7"/>
    <w:rsid w:val="00F5005C"/>
    <w:rsid w:val="00F506EF"/>
    <w:rsid w:val="00F50AD6"/>
    <w:rsid w:val="00F5140D"/>
    <w:rsid w:val="00F53D7B"/>
    <w:rsid w:val="00F55E8A"/>
    <w:rsid w:val="00F565A3"/>
    <w:rsid w:val="00F600EA"/>
    <w:rsid w:val="00F620D8"/>
    <w:rsid w:val="00F62E42"/>
    <w:rsid w:val="00F64334"/>
    <w:rsid w:val="00F64852"/>
    <w:rsid w:val="00F66825"/>
    <w:rsid w:val="00F66A41"/>
    <w:rsid w:val="00F67908"/>
    <w:rsid w:val="00F7435C"/>
    <w:rsid w:val="00F74B10"/>
    <w:rsid w:val="00F863B7"/>
    <w:rsid w:val="00F9119D"/>
    <w:rsid w:val="00F919DA"/>
    <w:rsid w:val="00F941FF"/>
    <w:rsid w:val="00F96E60"/>
    <w:rsid w:val="00F973D7"/>
    <w:rsid w:val="00FA1C14"/>
    <w:rsid w:val="00FA3AE3"/>
    <w:rsid w:val="00FA3FFD"/>
    <w:rsid w:val="00FA4D33"/>
    <w:rsid w:val="00FA5197"/>
    <w:rsid w:val="00FA5AD2"/>
    <w:rsid w:val="00FA6EC4"/>
    <w:rsid w:val="00FB0CB7"/>
    <w:rsid w:val="00FB25C1"/>
    <w:rsid w:val="00FB6C38"/>
    <w:rsid w:val="00FC1E31"/>
    <w:rsid w:val="00FC2104"/>
    <w:rsid w:val="00FC265C"/>
    <w:rsid w:val="00FC2B0D"/>
    <w:rsid w:val="00FC3A87"/>
    <w:rsid w:val="00FC5C06"/>
    <w:rsid w:val="00FC70AF"/>
    <w:rsid w:val="00FD496B"/>
    <w:rsid w:val="00FD505C"/>
    <w:rsid w:val="00FD5421"/>
    <w:rsid w:val="00FD57E9"/>
    <w:rsid w:val="00FD6B1B"/>
    <w:rsid w:val="00FD7A88"/>
    <w:rsid w:val="00FE4CD1"/>
    <w:rsid w:val="00FE5BFC"/>
    <w:rsid w:val="00FE7DDE"/>
    <w:rsid w:val="00FE7E6F"/>
    <w:rsid w:val="00FF0F52"/>
    <w:rsid w:val="00FF1E8D"/>
    <w:rsid w:val="00FF23CF"/>
    <w:rsid w:val="00FF67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FD464"/>
  <w15:chartTrackingRefBased/>
  <w15:docId w15:val="{8719C507-CB17-4C82-BE13-F925EB1A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E1530"/>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paragraph" w:styleId="Heading1">
    <w:name w:val="heading 1"/>
    <w:basedOn w:val="Normal"/>
    <w:next w:val="Normal"/>
    <w:link w:val="Heading1Char"/>
    <w:uiPriority w:val="9"/>
    <w:qFormat/>
    <w:rsid w:val="007550AB"/>
    <w:pPr>
      <w:keepNext/>
      <w:keepLines/>
      <w:outlineLvl w:val="0"/>
    </w:pPr>
    <w:rPr>
      <w:rFonts w:eastAsia="MingLiU"/>
      <w:b/>
      <w:bCs/>
      <w:color w:val="62B5E5"/>
      <w:szCs w:val="28"/>
    </w:rPr>
  </w:style>
  <w:style w:type="paragraph" w:styleId="Heading2">
    <w:name w:val="heading 2"/>
    <w:basedOn w:val="Normal"/>
    <w:next w:val="Normal"/>
    <w:link w:val="Heading2Char"/>
    <w:uiPriority w:val="9"/>
    <w:qFormat/>
    <w:rsid w:val="007550AB"/>
    <w:pPr>
      <w:keepNext/>
      <w:keepLines/>
      <w:outlineLvl w:val="1"/>
    </w:pPr>
    <w:rPr>
      <w:rFonts w:eastAsia="MingLiU"/>
      <w:b/>
      <w:bCs/>
      <w:color w:val="000000"/>
      <w:szCs w:val="26"/>
    </w:rPr>
  </w:style>
  <w:style w:type="paragraph" w:styleId="Heading3">
    <w:name w:val="heading 3"/>
    <w:basedOn w:val="Normal"/>
    <w:next w:val="Normal"/>
    <w:link w:val="Heading3Char"/>
    <w:uiPriority w:val="9"/>
    <w:qFormat/>
    <w:rsid w:val="00CC2A1A"/>
    <w:pPr>
      <w:keepNext/>
      <w:keepLines/>
      <w:outlineLvl w:val="2"/>
    </w:pPr>
    <w:rPr>
      <w:rFonts w:eastAsia="MingLiU"/>
      <w:b/>
      <w:bCs/>
      <w:color w:val="75787B"/>
    </w:rPr>
  </w:style>
  <w:style w:type="paragraph" w:styleId="Heading4">
    <w:name w:val="heading 4"/>
    <w:basedOn w:val="Normal"/>
    <w:next w:val="Normal"/>
    <w:link w:val="Heading4Char"/>
    <w:uiPriority w:val="9"/>
    <w:qFormat/>
    <w:rsid w:val="00255D53"/>
    <w:pPr>
      <w:keepNext/>
      <w:keepLines/>
      <w:tabs>
        <w:tab w:val="left" w:pos="340"/>
      </w:tabs>
      <w:outlineLvl w:val="3"/>
    </w:pPr>
    <w:rPr>
      <w:rFonts w:eastAsia="MingLiU"/>
      <w:b/>
      <w:bCs/>
      <w:iCs/>
      <w:color w:val="000000"/>
    </w:rPr>
  </w:style>
  <w:style w:type="paragraph" w:styleId="Heading5">
    <w:name w:val="heading 5"/>
    <w:basedOn w:val="Normal"/>
    <w:next w:val="Normal"/>
    <w:link w:val="Heading5Char"/>
    <w:uiPriority w:val="9"/>
    <w:qFormat/>
    <w:rsid w:val="004C5D1B"/>
    <w:pPr>
      <w:keepNext/>
      <w:keepLines/>
      <w:spacing w:before="4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550AB"/>
    <w:rPr>
      <w:rFonts w:ascii="Verdana" w:eastAsia="MingLiU" w:hAnsi="Verdana" w:cs="Times New Roman"/>
      <w:b/>
      <w:bCs/>
      <w:color w:val="62B5E5"/>
      <w:sz w:val="18"/>
      <w:szCs w:val="28"/>
      <w:lang w:val="en-US"/>
    </w:rPr>
  </w:style>
  <w:style w:type="character" w:customStyle="1" w:styleId="Heading2Char">
    <w:name w:val="Heading 2 Char"/>
    <w:link w:val="Heading2"/>
    <w:uiPriority w:val="9"/>
    <w:rsid w:val="007550AB"/>
    <w:rPr>
      <w:rFonts w:ascii="Verdana" w:eastAsia="MingLiU" w:hAnsi="Verdana" w:cs="Times New Roman"/>
      <w:b/>
      <w:bCs/>
      <w:color w:val="000000"/>
      <w:sz w:val="18"/>
      <w:szCs w:val="26"/>
      <w:lang w:val="en-US"/>
    </w:rPr>
  </w:style>
  <w:style w:type="table" w:styleId="TableGrid">
    <w:name w:val="Table Grid"/>
    <w:basedOn w:val="TableNormal"/>
    <w:uiPriority w:val="59"/>
    <w:rsid w:val="001E016B"/>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Header">
    <w:name w:val="header"/>
    <w:link w:val="HeaderChar"/>
    <w:uiPriority w:val="99"/>
    <w:rsid w:val="008631CE"/>
    <w:pPr>
      <w:tabs>
        <w:tab w:val="center" w:pos="4513"/>
        <w:tab w:val="right" w:pos="9026"/>
      </w:tabs>
    </w:pPr>
    <w:rPr>
      <w:b/>
      <w:sz w:val="14"/>
      <w:szCs w:val="22"/>
      <w:lang w:val="en-US" w:eastAsia="en-US"/>
    </w:rPr>
  </w:style>
  <w:style w:type="character" w:customStyle="1" w:styleId="HeaderChar">
    <w:name w:val="Header Char"/>
    <w:link w:val="Header"/>
    <w:uiPriority w:val="99"/>
    <w:rsid w:val="008631CE"/>
    <w:rPr>
      <w:b/>
      <w:sz w:val="14"/>
      <w:lang w:val="en-US"/>
    </w:rPr>
  </w:style>
  <w:style w:type="paragraph" w:styleId="Footer">
    <w:name w:val="footer"/>
    <w:basedOn w:val="Normal"/>
    <w:link w:val="FooterChar"/>
    <w:uiPriority w:val="99"/>
    <w:rsid w:val="001975EF"/>
    <w:pPr>
      <w:tabs>
        <w:tab w:val="right" w:pos="7371"/>
      </w:tabs>
      <w:spacing w:line="200" w:lineRule="atLeast"/>
    </w:pPr>
    <w:rPr>
      <w:sz w:val="16"/>
    </w:rPr>
  </w:style>
  <w:style w:type="character" w:customStyle="1" w:styleId="FooterChar">
    <w:name w:val="Footer Char"/>
    <w:link w:val="Footer"/>
    <w:uiPriority w:val="99"/>
    <w:rsid w:val="007550AB"/>
    <w:rPr>
      <w:sz w:val="16"/>
      <w:lang w:val="en-US"/>
    </w:rPr>
  </w:style>
  <w:style w:type="paragraph" w:styleId="BalloonText">
    <w:name w:val="Balloon Text"/>
    <w:basedOn w:val="Normal"/>
    <w:link w:val="BalloonTextChar"/>
    <w:uiPriority w:val="99"/>
    <w:semiHidden/>
    <w:rsid w:val="00C702C7"/>
    <w:rPr>
      <w:rFonts w:ascii="Tahoma" w:hAnsi="Tahoma" w:cs="Tahoma"/>
      <w:sz w:val="16"/>
      <w:szCs w:val="16"/>
    </w:rPr>
  </w:style>
  <w:style w:type="character" w:customStyle="1" w:styleId="BalloonTextChar">
    <w:name w:val="Balloon Text Char"/>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uiPriority w:val="99"/>
    <w:semiHidden/>
    <w:rsid w:val="001975EF"/>
    <w:rPr>
      <w:color w:val="808080"/>
    </w:rPr>
  </w:style>
  <w:style w:type="paragraph" w:styleId="ListBullet">
    <w:name w:val="List Bullet"/>
    <w:basedOn w:val="Normal"/>
    <w:uiPriority w:val="99"/>
    <w:qFormat/>
    <w:rsid w:val="00544D24"/>
    <w:pPr>
      <w:numPr>
        <w:numId w:val="1"/>
      </w:numPr>
      <w:tabs>
        <w:tab w:val="clear" w:pos="360"/>
      </w:tabs>
      <w:ind w:left="284" w:hanging="284"/>
      <w:contextualSpacing/>
    </w:pPr>
  </w:style>
  <w:style w:type="paragraph" w:styleId="ListBullet2">
    <w:name w:val="List Bullet 2"/>
    <w:basedOn w:val="Normal"/>
    <w:uiPriority w:val="99"/>
    <w:qFormat/>
    <w:rsid w:val="002B4D02"/>
    <w:pPr>
      <w:numPr>
        <w:numId w:val="2"/>
      </w:numPr>
      <w:ind w:left="568" w:hanging="284"/>
      <w:contextualSpacing/>
    </w:pPr>
  </w:style>
  <w:style w:type="paragraph" w:styleId="ListNumber">
    <w:name w:val="List Number"/>
    <w:basedOn w:val="Normal"/>
    <w:uiPriority w:val="99"/>
    <w:qFormat/>
    <w:rsid w:val="00544D24"/>
    <w:pPr>
      <w:numPr>
        <w:numId w:val="3"/>
      </w:numPr>
      <w:tabs>
        <w:tab w:val="clear" w:pos="360"/>
      </w:tabs>
      <w:ind w:left="284" w:hanging="284"/>
      <w:contextualSpacing/>
    </w:pPr>
  </w:style>
  <w:style w:type="paragraph" w:styleId="ListNumber2">
    <w:name w:val="List Number 2"/>
    <w:basedOn w:val="Normal"/>
    <w:uiPriority w:val="99"/>
    <w:qFormat/>
    <w:rsid w:val="00D35C72"/>
    <w:pPr>
      <w:numPr>
        <w:numId w:val="4"/>
      </w:numPr>
      <w:ind w:left="568" w:hanging="284"/>
      <w:contextualSpacing/>
    </w:pPr>
  </w:style>
  <w:style w:type="character" w:customStyle="1" w:styleId="Heading3Char">
    <w:name w:val="Heading 3 Char"/>
    <w:link w:val="Heading3"/>
    <w:uiPriority w:val="9"/>
    <w:rsid w:val="00CC2A1A"/>
    <w:rPr>
      <w:rFonts w:ascii="Verdana" w:eastAsia="MingLiU" w:hAnsi="Verdana" w:cs="Times New Roman"/>
      <w:b/>
      <w:bCs/>
      <w:color w:val="75787B"/>
      <w:sz w:val="18"/>
      <w:lang w:val="en-US"/>
    </w:rPr>
  </w:style>
  <w:style w:type="character" w:customStyle="1" w:styleId="Heading4Char">
    <w:name w:val="Heading 4 Char"/>
    <w:link w:val="Heading4"/>
    <w:uiPriority w:val="9"/>
    <w:rsid w:val="00C67491"/>
    <w:rPr>
      <w:rFonts w:eastAsia="MingLiU"/>
      <w:b/>
      <w:bCs/>
      <w:iCs/>
      <w:color w:val="000000"/>
      <w:sz w:val="18"/>
      <w:szCs w:val="22"/>
      <w:lang w:val="en-US" w:eastAsia="en-US"/>
    </w:rPr>
  </w:style>
  <w:style w:type="paragraph" w:styleId="FootnoteText">
    <w:name w:val="footnote text"/>
    <w:basedOn w:val="Normal"/>
    <w:link w:val="FootnoteTextChar"/>
    <w:uiPriority w:val="99"/>
    <w:rsid w:val="00F3081C"/>
    <w:rPr>
      <w:sz w:val="16"/>
      <w:szCs w:val="20"/>
    </w:rPr>
  </w:style>
  <w:style w:type="character" w:customStyle="1" w:styleId="FootnoteTextChar">
    <w:name w:val="Footnote Text Char"/>
    <w:link w:val="FootnoteText"/>
    <w:uiPriority w:val="99"/>
    <w:rsid w:val="007550AB"/>
    <w:rPr>
      <w:sz w:val="16"/>
      <w:szCs w:val="20"/>
      <w:lang w:val="en-US"/>
    </w:rPr>
  </w:style>
  <w:style w:type="paragraph" w:customStyle="1" w:styleId="Documenttitle">
    <w:name w:val="Document title"/>
    <w:next w:val="Documentsubtitle"/>
    <w:qFormat/>
    <w:rsid w:val="00A7281A"/>
    <w:pPr>
      <w:spacing w:line="440" w:lineRule="atLeast"/>
    </w:pPr>
    <w:rPr>
      <w:rFonts w:eastAsia="MingLiU"/>
      <w:b/>
      <w:bCs/>
      <w:color w:val="000000"/>
      <w:sz w:val="36"/>
      <w:szCs w:val="28"/>
      <w:lang w:val="en-GB" w:eastAsia="en-US"/>
    </w:rPr>
  </w:style>
  <w:style w:type="paragraph" w:customStyle="1" w:styleId="Subheading">
    <w:name w:val="Subheading"/>
    <w:basedOn w:val="Normal"/>
    <w:next w:val="Normal"/>
    <w:semiHidden/>
    <w:qFormat/>
    <w:rsid w:val="00D236E8"/>
    <w:rPr>
      <w:rFonts w:eastAsia="MingLiU"/>
      <w:b/>
      <w:bCs/>
      <w:iCs/>
      <w:color w:val="000000"/>
    </w:rPr>
  </w:style>
  <w:style w:type="character" w:styleId="FootnoteReference">
    <w:name w:val="footnote reference"/>
    <w:uiPriority w:val="99"/>
    <w:semiHidden/>
    <w:rsid w:val="00412EA0"/>
    <w:rPr>
      <w:vertAlign w:val="superscript"/>
    </w:rPr>
  </w:style>
  <w:style w:type="paragraph" w:customStyle="1" w:styleId="Sectionintro">
    <w:name w:val="Section intro"/>
    <w:basedOn w:val="Normal"/>
    <w:next w:val="Normal"/>
    <w:qFormat/>
    <w:rsid w:val="00212852"/>
    <w:pPr>
      <w:spacing w:line="360" w:lineRule="atLeast"/>
    </w:pPr>
    <w:rPr>
      <w:sz w:val="28"/>
    </w:rPr>
  </w:style>
  <w:style w:type="paragraph" w:customStyle="1" w:styleId="Documentdate">
    <w:name w:val="Document date"/>
    <w:qFormat/>
    <w:rsid w:val="007550AB"/>
    <w:pPr>
      <w:spacing w:line="240" w:lineRule="atLeast"/>
    </w:pPr>
    <w:rPr>
      <w:sz w:val="18"/>
      <w:szCs w:val="22"/>
      <w:lang w:val="en-US" w:eastAsia="en-US"/>
    </w:rPr>
  </w:style>
  <w:style w:type="paragraph" w:customStyle="1" w:styleId="Sectiontitle">
    <w:name w:val="Section title"/>
    <w:basedOn w:val="Normal"/>
    <w:next w:val="Normal"/>
    <w:qFormat/>
    <w:rsid w:val="00EE61A2"/>
    <w:pPr>
      <w:spacing w:after="480" w:line="720" w:lineRule="atLeast"/>
    </w:pPr>
    <w:rPr>
      <w:sz w:val="60"/>
    </w:rPr>
  </w:style>
  <w:style w:type="paragraph" w:customStyle="1" w:styleId="PulloutBlue">
    <w:name w:val="Pullout Blue"/>
    <w:basedOn w:val="Normal"/>
    <w:next w:val="Normal"/>
    <w:qFormat/>
    <w:rsid w:val="00DD5A1B"/>
    <w:pPr>
      <w:spacing w:line="360" w:lineRule="atLeast"/>
    </w:pPr>
    <w:rPr>
      <w:color w:val="62B5E5"/>
      <w:sz w:val="28"/>
    </w:rPr>
  </w:style>
  <w:style w:type="paragraph" w:customStyle="1" w:styleId="Contacttext">
    <w:name w:val="Contact text"/>
    <w:basedOn w:val="Normal"/>
    <w:qFormat/>
    <w:rsid w:val="00D7732D"/>
  </w:style>
  <w:style w:type="paragraph" w:customStyle="1" w:styleId="Contactus">
    <w:name w:val="Contact us"/>
    <w:basedOn w:val="Contacttext"/>
    <w:next w:val="Contacttext"/>
    <w:qFormat/>
    <w:rsid w:val="00D7732D"/>
    <w:pPr>
      <w:spacing w:after="240" w:line="340" w:lineRule="atLeast"/>
    </w:pPr>
    <w:rPr>
      <w:sz w:val="28"/>
    </w:rPr>
  </w:style>
  <w:style w:type="paragraph" w:styleId="Caption">
    <w:name w:val="caption"/>
    <w:basedOn w:val="Normal"/>
    <w:next w:val="Normal"/>
    <w:uiPriority w:val="35"/>
    <w:qFormat/>
    <w:rsid w:val="00B46969"/>
    <w:pPr>
      <w:keepNext/>
    </w:pPr>
    <w:rPr>
      <w:iCs/>
      <w:color w:val="75787B"/>
      <w:sz w:val="17"/>
      <w:szCs w:val="18"/>
    </w:rPr>
  </w:style>
  <w:style w:type="character" w:styleId="Hyperlink">
    <w:name w:val="Hyperlink"/>
    <w:unhideWhenUsed/>
    <w:rsid w:val="00E94C20"/>
    <w:rPr>
      <w:color w:val="00A3E0"/>
      <w:u w:val="single"/>
    </w:rPr>
  </w:style>
  <w:style w:type="paragraph" w:customStyle="1" w:styleId="PulloutGreen">
    <w:name w:val="Pullout Green"/>
    <w:basedOn w:val="PulloutBlue"/>
    <w:next w:val="Normal"/>
    <w:qFormat/>
    <w:rsid w:val="00822995"/>
    <w:rPr>
      <w:color w:val="86BC25"/>
    </w:rPr>
  </w:style>
  <w:style w:type="paragraph" w:customStyle="1" w:styleId="QuotesourceBlue">
    <w:name w:val="Quote source Blue"/>
    <w:basedOn w:val="Normal"/>
    <w:next w:val="Normal"/>
    <w:qFormat/>
    <w:rsid w:val="004C5D1B"/>
    <w:pPr>
      <w:spacing w:line="200" w:lineRule="atLeast"/>
      <w:contextualSpacing/>
    </w:pPr>
    <w:rPr>
      <w:b/>
      <w:color w:val="62B5E5"/>
    </w:rPr>
  </w:style>
  <w:style w:type="paragraph" w:customStyle="1" w:styleId="QuotesourceGreen">
    <w:name w:val="Quote source Green"/>
    <w:basedOn w:val="QuotesourceBlue"/>
    <w:next w:val="Normal"/>
    <w:qFormat/>
    <w:rsid w:val="000516C4"/>
    <w:rPr>
      <w:color w:val="86BC25"/>
    </w:rPr>
  </w:style>
  <w:style w:type="paragraph" w:customStyle="1" w:styleId="Paneltext">
    <w:name w:val="Panel text"/>
    <w:basedOn w:val="Normal"/>
    <w:qFormat/>
    <w:rsid w:val="00AE0FC7"/>
    <w:rPr>
      <w:color w:val="FFFFFF"/>
      <w:sz w:val="17"/>
    </w:rPr>
  </w:style>
  <w:style w:type="paragraph" w:customStyle="1" w:styleId="Paneltitle">
    <w:name w:val="Panel title"/>
    <w:basedOn w:val="Paneltext"/>
    <w:next w:val="Paneltext"/>
    <w:qFormat/>
    <w:rsid w:val="00D0023B"/>
    <w:pPr>
      <w:spacing w:line="360" w:lineRule="atLeast"/>
    </w:pPr>
    <w:rPr>
      <w:b/>
      <w:sz w:val="28"/>
    </w:rPr>
  </w:style>
  <w:style w:type="paragraph" w:customStyle="1" w:styleId="Formoreinfocalloutwhite8512ptPullOutStyles">
    <w:name w:val="For more info call out (white 8.5/12pt) (Pull Out Styles)"/>
    <w:basedOn w:val="Normal"/>
    <w:uiPriority w:val="99"/>
    <w:rsid w:val="00AE0FC7"/>
    <w:pPr>
      <w:tabs>
        <w:tab w:val="left" w:pos="283"/>
        <w:tab w:val="left" w:pos="567"/>
      </w:tabs>
      <w:suppressAutoHyphens/>
      <w:autoSpaceDE w:val="0"/>
      <w:autoSpaceDN w:val="0"/>
      <w:adjustRightInd w:val="0"/>
      <w:textAlignment w:val="center"/>
    </w:pPr>
    <w:rPr>
      <w:rFonts w:ascii="OpenSans-Bold" w:hAnsi="OpenSans-Bold" w:cs="OpenSans-Bold"/>
      <w:b/>
      <w:bCs/>
      <w:color w:val="FFFFFF"/>
      <w:spacing w:val="-2"/>
      <w:sz w:val="17"/>
      <w:szCs w:val="17"/>
    </w:rPr>
  </w:style>
  <w:style w:type="paragraph" w:customStyle="1" w:styleId="Documentsubtitle">
    <w:name w:val="Document subtitle"/>
    <w:basedOn w:val="Normal"/>
    <w:qFormat/>
    <w:rsid w:val="006528C9"/>
    <w:pPr>
      <w:spacing w:after="120" w:line="440" w:lineRule="atLeast"/>
    </w:pPr>
    <w:rPr>
      <w:sz w:val="36"/>
    </w:rPr>
  </w:style>
  <w:style w:type="paragraph" w:customStyle="1" w:styleId="Contentstitle">
    <w:name w:val="Contents title"/>
    <w:basedOn w:val="Sectiontitle"/>
    <w:next w:val="Normal"/>
    <w:qFormat/>
    <w:rsid w:val="00244010"/>
  </w:style>
  <w:style w:type="paragraph" w:styleId="TOC1">
    <w:name w:val="toc 1"/>
    <w:basedOn w:val="Normal"/>
    <w:next w:val="Normal"/>
    <w:autoRedefine/>
    <w:uiPriority w:val="39"/>
    <w:rsid w:val="000B6C05"/>
    <w:pPr>
      <w:tabs>
        <w:tab w:val="right" w:pos="6935"/>
      </w:tabs>
      <w:spacing w:after="120" w:line="360" w:lineRule="atLeast"/>
    </w:pPr>
    <w:rPr>
      <w:sz w:val="28"/>
    </w:rPr>
  </w:style>
  <w:style w:type="paragraph" w:customStyle="1" w:styleId="Quotetext">
    <w:name w:val="Quote text"/>
    <w:basedOn w:val="PulloutBlue"/>
    <w:qFormat/>
    <w:rsid w:val="003E49BA"/>
    <w:pPr>
      <w:spacing w:line="720" w:lineRule="atLeast"/>
    </w:pPr>
    <w:rPr>
      <w:color w:val="FFFFFF"/>
      <w:sz w:val="60"/>
    </w:rPr>
  </w:style>
  <w:style w:type="paragraph" w:customStyle="1" w:styleId="Legaltext">
    <w:name w:val="Legal text"/>
    <w:basedOn w:val="Normal"/>
    <w:qFormat/>
    <w:rsid w:val="00BF6F8B"/>
    <w:pPr>
      <w:spacing w:line="180" w:lineRule="atLeast"/>
      <w:ind w:right="5387"/>
    </w:pPr>
    <w:rPr>
      <w:sz w:val="14"/>
    </w:rPr>
  </w:style>
  <w:style w:type="table" w:customStyle="1" w:styleId="Deloittetable">
    <w:name w:val="Deloitte table"/>
    <w:basedOn w:val="TableNormal"/>
    <w:uiPriority w:val="99"/>
    <w:rsid w:val="00335CF3"/>
    <w:rPr>
      <w:sz w:val="17"/>
    </w:rPr>
    <w:tblPr>
      <w:tblBorders>
        <w:top w:val="single" w:sz="4" w:space="0" w:color="62B5E5"/>
        <w:bottom w:val="single" w:sz="4" w:space="0" w:color="000000"/>
        <w:insideH w:val="single" w:sz="4" w:space="0" w:color="000000"/>
      </w:tblBorders>
      <w:tblCellMar>
        <w:top w:w="57" w:type="dxa"/>
        <w:left w:w="0" w:type="dxa"/>
        <w:bottom w:w="57" w:type="dxa"/>
        <w:right w:w="0" w:type="dxa"/>
      </w:tblCellMar>
    </w:tblPr>
    <w:tblStylePr w:type="firstRow">
      <w:rPr>
        <w:rFonts w:ascii="Verdana" w:hAnsi="Verdana"/>
        <w:b/>
        <w:color w:val="62B5E5"/>
        <w:sz w:val="17"/>
      </w:rPr>
      <w:tblPr/>
      <w:tcPr>
        <w:tcBorders>
          <w:top w:val="single" w:sz="24" w:space="0" w:color="62B5E5"/>
        </w:tcBorders>
      </w:tcPr>
    </w:tblStylePr>
  </w:style>
  <w:style w:type="paragraph" w:customStyle="1" w:styleId="Tabletext">
    <w:name w:val="Table text"/>
    <w:basedOn w:val="Normal"/>
    <w:qFormat/>
    <w:rsid w:val="004D1F57"/>
    <w:pPr>
      <w:spacing w:line="200" w:lineRule="atLeast"/>
    </w:pPr>
    <w:rPr>
      <w:sz w:val="17"/>
    </w:rPr>
  </w:style>
  <w:style w:type="paragraph" w:customStyle="1" w:styleId="Tabletitle">
    <w:name w:val="Table title"/>
    <w:basedOn w:val="Tabletext"/>
    <w:qFormat/>
    <w:rsid w:val="004D1F57"/>
    <w:rPr>
      <w:b/>
      <w:color w:val="62B5E5"/>
    </w:rPr>
  </w:style>
  <w:style w:type="paragraph" w:customStyle="1" w:styleId="SourcetextTableorChart">
    <w:name w:val="Source text Table or Chart"/>
    <w:basedOn w:val="Caption"/>
    <w:next w:val="Normal"/>
    <w:qFormat/>
    <w:rsid w:val="003B3379"/>
    <w:pPr>
      <w:spacing w:before="120"/>
    </w:pPr>
    <w:rPr>
      <w:sz w:val="14"/>
    </w:rPr>
  </w:style>
  <w:style w:type="paragraph" w:customStyle="1" w:styleId="Tablebullets">
    <w:name w:val="Table bullets"/>
    <w:basedOn w:val="Tabletext"/>
    <w:qFormat/>
    <w:rsid w:val="00AD6475"/>
    <w:pPr>
      <w:numPr>
        <w:numId w:val="19"/>
      </w:numPr>
      <w:ind w:left="284" w:hanging="284"/>
    </w:pPr>
  </w:style>
  <w:style w:type="paragraph" w:customStyle="1" w:styleId="Tablenumbered">
    <w:name w:val="Table numbered"/>
    <w:basedOn w:val="Tablebullets"/>
    <w:qFormat/>
    <w:rsid w:val="00AD6475"/>
    <w:pPr>
      <w:numPr>
        <w:numId w:val="20"/>
      </w:numPr>
      <w:ind w:left="284" w:hanging="284"/>
    </w:pPr>
  </w:style>
  <w:style w:type="paragraph" w:customStyle="1" w:styleId="Charttitle">
    <w:name w:val="Chart title"/>
    <w:basedOn w:val="Heading2"/>
    <w:qFormat/>
    <w:rsid w:val="00B66FC9"/>
  </w:style>
  <w:style w:type="paragraph" w:customStyle="1" w:styleId="Smlouvaheading1">
    <w:name w:val="Smlouva heading 1"/>
    <w:basedOn w:val="Normal"/>
    <w:link w:val="Smlouvaheading1Char"/>
    <w:qFormat/>
    <w:rsid w:val="00277DBB"/>
    <w:pPr>
      <w:numPr>
        <w:numId w:val="24"/>
      </w:numPr>
      <w:spacing w:before="240" w:after="120"/>
      <w:jc w:val="both"/>
    </w:pPr>
    <w:rPr>
      <w:b/>
    </w:rPr>
  </w:style>
  <w:style w:type="character" w:customStyle="1" w:styleId="Smlouvaheading1Char">
    <w:name w:val="Smlouva heading 1 Char"/>
    <w:link w:val="Smlouvaheading1"/>
    <w:rsid w:val="00277DBB"/>
    <w:rPr>
      <w:b/>
      <w:sz w:val="18"/>
      <w:szCs w:val="22"/>
      <w:lang w:val="en-US" w:eastAsia="en-US"/>
    </w:rPr>
  </w:style>
  <w:style w:type="paragraph" w:customStyle="1" w:styleId="Smlouvaheading2">
    <w:name w:val="Smlouva heading 2"/>
    <w:link w:val="Smlouvaheading2Char"/>
    <w:qFormat/>
    <w:rsid w:val="00277DBB"/>
    <w:pPr>
      <w:numPr>
        <w:ilvl w:val="1"/>
        <w:numId w:val="24"/>
      </w:numPr>
      <w:spacing w:before="120" w:after="120" w:line="240" w:lineRule="atLeast"/>
      <w:jc w:val="both"/>
    </w:pPr>
    <w:rPr>
      <w:sz w:val="18"/>
      <w:szCs w:val="22"/>
      <w:lang w:val="en-US" w:eastAsia="en-US"/>
    </w:rPr>
  </w:style>
  <w:style w:type="character" w:customStyle="1" w:styleId="Smlouvaheading2Char">
    <w:name w:val="Smlouva heading 2 Char"/>
    <w:link w:val="Smlouvaheading2"/>
    <w:rsid w:val="00277DBB"/>
    <w:rPr>
      <w:sz w:val="18"/>
      <w:szCs w:val="22"/>
      <w:lang w:val="en-US" w:eastAsia="en-US"/>
    </w:rPr>
  </w:style>
  <w:style w:type="paragraph" w:customStyle="1" w:styleId="Smlouvaheading3">
    <w:name w:val="Smlouva heading 3"/>
    <w:qFormat/>
    <w:rsid w:val="00C81837"/>
    <w:pPr>
      <w:numPr>
        <w:ilvl w:val="2"/>
        <w:numId w:val="24"/>
      </w:numPr>
      <w:spacing w:after="120" w:line="240" w:lineRule="atLeast"/>
      <w:ind w:left="1475" w:hanging="624"/>
      <w:jc w:val="both"/>
    </w:pPr>
    <w:rPr>
      <w:sz w:val="18"/>
      <w:szCs w:val="22"/>
      <w:lang w:val="en-US" w:eastAsia="en-US"/>
    </w:rPr>
  </w:style>
  <w:style w:type="paragraph" w:customStyle="1" w:styleId="Smlouvaheading4">
    <w:name w:val="Smlouva heading 4"/>
    <w:qFormat/>
    <w:rsid w:val="00AD1749"/>
    <w:pPr>
      <w:numPr>
        <w:ilvl w:val="3"/>
        <w:numId w:val="24"/>
      </w:numPr>
      <w:spacing w:after="120" w:line="240" w:lineRule="atLeast"/>
      <w:jc w:val="both"/>
    </w:pPr>
    <w:rPr>
      <w:sz w:val="18"/>
      <w:szCs w:val="22"/>
      <w:lang w:val="en-US" w:eastAsia="en-US"/>
    </w:rPr>
  </w:style>
  <w:style w:type="character" w:customStyle="1" w:styleId="Heading5Char">
    <w:name w:val="Heading 5 Char"/>
    <w:link w:val="Heading5"/>
    <w:uiPriority w:val="9"/>
    <w:rsid w:val="004C5D1B"/>
    <w:rPr>
      <w:rFonts w:ascii="Verdana" w:eastAsia="Times New Roman" w:hAnsi="Verdana" w:cs="Times New Roman"/>
      <w:sz w:val="18"/>
      <w:szCs w:val="22"/>
      <w:lang w:val="en-US" w:eastAsia="en-US"/>
    </w:rPr>
  </w:style>
  <w:style w:type="table" w:customStyle="1" w:styleId="Deloittetable2">
    <w:name w:val="Deloitte table 2"/>
    <w:basedOn w:val="TableNormal"/>
    <w:uiPriority w:val="99"/>
    <w:rsid w:val="004C5D1B"/>
    <w:rPr>
      <w:sz w:val="17"/>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table" w:customStyle="1" w:styleId="Deloittetable3">
    <w:name w:val="Deloitte table 3"/>
    <w:basedOn w:val="PlainTable4"/>
    <w:uiPriority w:val="99"/>
    <w:rsid w:val="00110604"/>
    <w:rPr>
      <w:sz w:val="17"/>
      <w:lang w:val="en-US" w:eastAsia="en-US"/>
    </w:rPr>
    <w:tblPr>
      <w:tblBorders>
        <w:bottom w:val="single" w:sz="4" w:space="0" w:color="E7E6E6"/>
      </w:tblBorders>
      <w:tblCellMar>
        <w:top w:w="57" w:type="dxa"/>
        <w:left w:w="0" w:type="dxa"/>
        <w:bottom w:w="57" w:type="dxa"/>
        <w:right w:w="0" w:type="dxa"/>
      </w:tblCellMar>
    </w:tblPr>
    <w:tcPr>
      <w:shd w:val="clear" w:color="auto" w:fill="auto"/>
    </w:tcPr>
    <w:tblStylePr w:type="firstRow">
      <w:rPr>
        <w:rFonts w:ascii="Verdana" w:hAnsi="Verdana"/>
        <w:b/>
        <w:bCs/>
        <w:color w:val="86BC25"/>
        <w:sz w:val="18"/>
      </w:rPr>
      <w:tblPr/>
      <w:tcPr>
        <w:tcBorders>
          <w:top w:val="single" w:sz="24" w:space="0" w:color="86BC25"/>
        </w:tcBorders>
        <w:shd w:val="clear" w:color="auto" w:fill="auto"/>
      </w:tcPr>
    </w:tblStylePr>
    <w:tblStylePr w:type="lastRow">
      <w:rPr>
        <w:b w:val="0"/>
        <w:bCs/>
      </w:rPr>
      <w:tblPr/>
      <w:tcPr>
        <w:tcBorders>
          <w:bottom w:val="single" w:sz="4" w:space="0" w:color="E7E6E6"/>
        </w:tcBorders>
        <w:shd w:val="clear" w:color="auto" w:fill="auto"/>
      </w:tcPr>
    </w:tblStylePr>
    <w:tblStylePr w:type="firstCol">
      <w:rPr>
        <w:b w:val="0"/>
        <w:bCs/>
      </w:rPr>
      <w:tblPr>
        <w:tblCellMar>
          <w:top w:w="57" w:type="dxa"/>
          <w:left w:w="0" w:type="dxa"/>
          <w:bottom w:w="57" w:type="dxa"/>
          <w:right w:w="0" w:type="dxa"/>
        </w:tblCellMar>
      </w:tblPr>
    </w:tblStylePr>
    <w:tblStylePr w:type="lastCol">
      <w:rPr>
        <w:b w:val="0"/>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6562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extA">
    <w:name w:val="Text A"/>
    <w:rsid w:val="00AE153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Text">
    <w:name w:val="Text"/>
    <w:rsid w:val="00AE1530"/>
    <w:pPr>
      <w:pBdr>
        <w:top w:val="nil"/>
        <w:left w:val="nil"/>
        <w:bottom w:val="nil"/>
        <w:right w:val="nil"/>
        <w:between w:val="nil"/>
        <w:bar w:val="nil"/>
      </w:pBdr>
      <w:spacing w:line="240" w:lineRule="atLeast"/>
    </w:pPr>
    <w:rPr>
      <w:rFonts w:cs="Verdana"/>
      <w:color w:val="000000"/>
      <w:sz w:val="17"/>
      <w:szCs w:val="17"/>
      <w:u w:color="000000"/>
      <w:bdr w:val="nil"/>
    </w:rPr>
  </w:style>
  <w:style w:type="paragraph" w:customStyle="1" w:styleId="BodyText1">
    <w:name w:val="Body Text1"/>
    <w:qFormat/>
    <w:rsid w:val="00AE1530"/>
    <w:pPr>
      <w:spacing w:after="180" w:line="250" w:lineRule="atLeast"/>
    </w:pPr>
    <w:rPr>
      <w:rFonts w:ascii="Arial" w:eastAsiaTheme="minorHAnsi" w:hAnsi="Arial"/>
      <w:color w:val="000000"/>
      <w:sz w:val="18"/>
      <w:szCs w:val="48"/>
      <w:lang w:eastAsia="en-US"/>
    </w:rPr>
  </w:style>
  <w:style w:type="character" w:styleId="CommentReference">
    <w:name w:val="annotation reference"/>
    <w:basedOn w:val="DefaultParagraphFont"/>
    <w:uiPriority w:val="99"/>
    <w:semiHidden/>
    <w:rsid w:val="002D5F90"/>
    <w:rPr>
      <w:sz w:val="16"/>
      <w:szCs w:val="16"/>
    </w:rPr>
  </w:style>
  <w:style w:type="paragraph" w:styleId="CommentText">
    <w:name w:val="annotation text"/>
    <w:basedOn w:val="Normal"/>
    <w:link w:val="CommentTextChar"/>
    <w:uiPriority w:val="99"/>
    <w:semiHidden/>
    <w:rsid w:val="002D5F90"/>
    <w:rPr>
      <w:sz w:val="20"/>
      <w:szCs w:val="20"/>
    </w:rPr>
  </w:style>
  <w:style w:type="character" w:customStyle="1" w:styleId="CommentTextChar">
    <w:name w:val="Comment Text Char"/>
    <w:basedOn w:val="DefaultParagraphFont"/>
    <w:link w:val="CommentText"/>
    <w:uiPriority w:val="99"/>
    <w:semiHidden/>
    <w:rsid w:val="002D5F90"/>
    <w:rPr>
      <w:rFonts w:ascii="Times New Roman" w:eastAsia="Arial Unicode MS" w:hAnsi="Times New Roman"/>
      <w:bdr w:val="nil"/>
      <w:lang w:val="en-US" w:eastAsia="en-US"/>
    </w:rPr>
  </w:style>
  <w:style w:type="paragraph" w:styleId="CommentSubject">
    <w:name w:val="annotation subject"/>
    <w:basedOn w:val="CommentText"/>
    <w:next w:val="CommentText"/>
    <w:link w:val="CommentSubjectChar"/>
    <w:uiPriority w:val="99"/>
    <w:semiHidden/>
    <w:rsid w:val="002D5F90"/>
    <w:rPr>
      <w:b/>
      <w:bCs/>
    </w:rPr>
  </w:style>
  <w:style w:type="character" w:customStyle="1" w:styleId="CommentSubjectChar">
    <w:name w:val="Comment Subject Char"/>
    <w:basedOn w:val="CommentTextChar"/>
    <w:link w:val="CommentSubject"/>
    <w:uiPriority w:val="99"/>
    <w:semiHidden/>
    <w:rsid w:val="002D5F90"/>
    <w:rPr>
      <w:rFonts w:ascii="Times New Roman" w:eastAsia="Arial Unicode MS" w:hAnsi="Times New Roman"/>
      <w:b/>
      <w:bCs/>
      <w:bdr w:val="nil"/>
      <w:lang w:val="en-US" w:eastAsia="en-US"/>
    </w:rPr>
  </w:style>
  <w:style w:type="paragraph" w:styleId="NormalWeb">
    <w:name w:val="Normal (Web)"/>
    <w:basedOn w:val="Normal"/>
    <w:uiPriority w:val="99"/>
    <w:unhideWhenUsed/>
    <w:rsid w:val="00D01A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FollowedHyperlink">
    <w:name w:val="FollowedHyperlink"/>
    <w:basedOn w:val="DefaultParagraphFont"/>
    <w:uiPriority w:val="99"/>
    <w:semiHidden/>
    <w:rsid w:val="005B0547"/>
    <w:rPr>
      <w:color w:val="C9DD03" w:themeColor="followedHyperlink"/>
      <w:u w:val="single"/>
    </w:rPr>
  </w:style>
  <w:style w:type="paragraph" w:styleId="ListParagraph">
    <w:name w:val="List Paragraph"/>
    <w:basedOn w:val="Normal"/>
    <w:uiPriority w:val="34"/>
    <w:qFormat/>
    <w:rsid w:val="00FA3FF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cs-CZ"/>
    </w:rPr>
  </w:style>
  <w:style w:type="paragraph" w:styleId="NoSpacing">
    <w:name w:val="No Spacing"/>
    <w:uiPriority w:val="1"/>
    <w:qFormat/>
    <w:rsid w:val="00B43EEE"/>
    <w:rPr>
      <w:rFonts w:asciiTheme="minorHAnsi" w:eastAsiaTheme="minorHAnsi" w:hAnsiTheme="minorHAnsi" w:cstheme="minorBidi"/>
      <w:sz w:val="22"/>
      <w:szCs w:val="22"/>
      <w:lang w:val="en-US" w:eastAsia="en-US"/>
    </w:rPr>
  </w:style>
  <w:style w:type="paragraph" w:styleId="Revision">
    <w:name w:val="Revision"/>
    <w:hidden/>
    <w:uiPriority w:val="99"/>
    <w:semiHidden/>
    <w:rsid w:val="00557EB3"/>
    <w:rPr>
      <w:rFonts w:ascii="Times New Roman" w:eastAsia="Arial Unicode MS" w:hAnsi="Times New Roman"/>
      <w:sz w:val="24"/>
      <w:szCs w:val="24"/>
      <w:bdr w:val="nil"/>
      <w:lang w:val="en-US" w:eastAsia="en-US"/>
    </w:rPr>
  </w:style>
  <w:style w:type="character" w:customStyle="1" w:styleId="A2">
    <w:name w:val="A2"/>
    <w:basedOn w:val="DefaultParagraphFont"/>
    <w:uiPriority w:val="99"/>
    <w:rsid w:val="0079279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567">
      <w:bodyDiv w:val="1"/>
      <w:marLeft w:val="0"/>
      <w:marRight w:val="0"/>
      <w:marTop w:val="0"/>
      <w:marBottom w:val="0"/>
      <w:divBdr>
        <w:top w:val="none" w:sz="0" w:space="0" w:color="auto"/>
        <w:left w:val="none" w:sz="0" w:space="0" w:color="auto"/>
        <w:bottom w:val="none" w:sz="0" w:space="0" w:color="auto"/>
        <w:right w:val="none" w:sz="0" w:space="0" w:color="auto"/>
      </w:divBdr>
    </w:div>
    <w:div w:id="122621724">
      <w:bodyDiv w:val="1"/>
      <w:marLeft w:val="0"/>
      <w:marRight w:val="0"/>
      <w:marTop w:val="0"/>
      <w:marBottom w:val="0"/>
      <w:divBdr>
        <w:top w:val="none" w:sz="0" w:space="0" w:color="auto"/>
        <w:left w:val="none" w:sz="0" w:space="0" w:color="auto"/>
        <w:bottom w:val="none" w:sz="0" w:space="0" w:color="auto"/>
        <w:right w:val="none" w:sz="0" w:space="0" w:color="auto"/>
      </w:divBdr>
    </w:div>
    <w:div w:id="145052467">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174810573">
      <w:bodyDiv w:val="1"/>
      <w:marLeft w:val="0"/>
      <w:marRight w:val="0"/>
      <w:marTop w:val="0"/>
      <w:marBottom w:val="0"/>
      <w:divBdr>
        <w:top w:val="none" w:sz="0" w:space="0" w:color="auto"/>
        <w:left w:val="none" w:sz="0" w:space="0" w:color="auto"/>
        <w:bottom w:val="none" w:sz="0" w:space="0" w:color="auto"/>
        <w:right w:val="none" w:sz="0" w:space="0" w:color="auto"/>
      </w:divBdr>
    </w:div>
    <w:div w:id="278873878">
      <w:bodyDiv w:val="1"/>
      <w:marLeft w:val="0"/>
      <w:marRight w:val="0"/>
      <w:marTop w:val="0"/>
      <w:marBottom w:val="0"/>
      <w:divBdr>
        <w:top w:val="none" w:sz="0" w:space="0" w:color="auto"/>
        <w:left w:val="none" w:sz="0" w:space="0" w:color="auto"/>
        <w:bottom w:val="none" w:sz="0" w:space="0" w:color="auto"/>
        <w:right w:val="none" w:sz="0" w:space="0" w:color="auto"/>
      </w:divBdr>
    </w:div>
    <w:div w:id="332342681">
      <w:bodyDiv w:val="1"/>
      <w:marLeft w:val="0"/>
      <w:marRight w:val="0"/>
      <w:marTop w:val="0"/>
      <w:marBottom w:val="0"/>
      <w:divBdr>
        <w:top w:val="none" w:sz="0" w:space="0" w:color="auto"/>
        <w:left w:val="none" w:sz="0" w:space="0" w:color="auto"/>
        <w:bottom w:val="none" w:sz="0" w:space="0" w:color="auto"/>
        <w:right w:val="none" w:sz="0" w:space="0" w:color="auto"/>
      </w:divBdr>
    </w:div>
    <w:div w:id="596838376">
      <w:bodyDiv w:val="1"/>
      <w:marLeft w:val="0"/>
      <w:marRight w:val="0"/>
      <w:marTop w:val="0"/>
      <w:marBottom w:val="0"/>
      <w:divBdr>
        <w:top w:val="none" w:sz="0" w:space="0" w:color="auto"/>
        <w:left w:val="none" w:sz="0" w:space="0" w:color="auto"/>
        <w:bottom w:val="none" w:sz="0" w:space="0" w:color="auto"/>
        <w:right w:val="none" w:sz="0" w:space="0" w:color="auto"/>
      </w:divBdr>
    </w:div>
    <w:div w:id="652878251">
      <w:bodyDiv w:val="1"/>
      <w:marLeft w:val="0"/>
      <w:marRight w:val="0"/>
      <w:marTop w:val="0"/>
      <w:marBottom w:val="0"/>
      <w:divBdr>
        <w:top w:val="none" w:sz="0" w:space="0" w:color="auto"/>
        <w:left w:val="none" w:sz="0" w:space="0" w:color="auto"/>
        <w:bottom w:val="none" w:sz="0" w:space="0" w:color="auto"/>
        <w:right w:val="none" w:sz="0" w:space="0" w:color="auto"/>
      </w:divBdr>
    </w:div>
    <w:div w:id="774906692">
      <w:bodyDiv w:val="1"/>
      <w:marLeft w:val="0"/>
      <w:marRight w:val="0"/>
      <w:marTop w:val="0"/>
      <w:marBottom w:val="0"/>
      <w:divBdr>
        <w:top w:val="none" w:sz="0" w:space="0" w:color="auto"/>
        <w:left w:val="none" w:sz="0" w:space="0" w:color="auto"/>
        <w:bottom w:val="none" w:sz="0" w:space="0" w:color="auto"/>
        <w:right w:val="none" w:sz="0" w:space="0" w:color="auto"/>
      </w:divBdr>
    </w:div>
    <w:div w:id="838694725">
      <w:bodyDiv w:val="1"/>
      <w:marLeft w:val="0"/>
      <w:marRight w:val="0"/>
      <w:marTop w:val="0"/>
      <w:marBottom w:val="0"/>
      <w:divBdr>
        <w:top w:val="none" w:sz="0" w:space="0" w:color="auto"/>
        <w:left w:val="none" w:sz="0" w:space="0" w:color="auto"/>
        <w:bottom w:val="none" w:sz="0" w:space="0" w:color="auto"/>
        <w:right w:val="none" w:sz="0" w:space="0" w:color="auto"/>
      </w:divBdr>
    </w:div>
    <w:div w:id="959384115">
      <w:bodyDiv w:val="1"/>
      <w:marLeft w:val="0"/>
      <w:marRight w:val="0"/>
      <w:marTop w:val="0"/>
      <w:marBottom w:val="0"/>
      <w:divBdr>
        <w:top w:val="none" w:sz="0" w:space="0" w:color="auto"/>
        <w:left w:val="none" w:sz="0" w:space="0" w:color="auto"/>
        <w:bottom w:val="none" w:sz="0" w:space="0" w:color="auto"/>
        <w:right w:val="none" w:sz="0" w:space="0" w:color="auto"/>
      </w:divBdr>
    </w:div>
    <w:div w:id="971180025">
      <w:bodyDiv w:val="1"/>
      <w:marLeft w:val="0"/>
      <w:marRight w:val="0"/>
      <w:marTop w:val="0"/>
      <w:marBottom w:val="0"/>
      <w:divBdr>
        <w:top w:val="none" w:sz="0" w:space="0" w:color="auto"/>
        <w:left w:val="none" w:sz="0" w:space="0" w:color="auto"/>
        <w:bottom w:val="none" w:sz="0" w:space="0" w:color="auto"/>
        <w:right w:val="none" w:sz="0" w:space="0" w:color="auto"/>
      </w:divBdr>
    </w:div>
    <w:div w:id="1038551553">
      <w:bodyDiv w:val="1"/>
      <w:marLeft w:val="0"/>
      <w:marRight w:val="0"/>
      <w:marTop w:val="0"/>
      <w:marBottom w:val="0"/>
      <w:divBdr>
        <w:top w:val="none" w:sz="0" w:space="0" w:color="auto"/>
        <w:left w:val="none" w:sz="0" w:space="0" w:color="auto"/>
        <w:bottom w:val="none" w:sz="0" w:space="0" w:color="auto"/>
        <w:right w:val="none" w:sz="0" w:space="0" w:color="auto"/>
      </w:divBdr>
    </w:div>
    <w:div w:id="1075013158">
      <w:bodyDiv w:val="1"/>
      <w:marLeft w:val="0"/>
      <w:marRight w:val="0"/>
      <w:marTop w:val="0"/>
      <w:marBottom w:val="0"/>
      <w:divBdr>
        <w:top w:val="none" w:sz="0" w:space="0" w:color="auto"/>
        <w:left w:val="none" w:sz="0" w:space="0" w:color="auto"/>
        <w:bottom w:val="none" w:sz="0" w:space="0" w:color="auto"/>
        <w:right w:val="none" w:sz="0" w:space="0" w:color="auto"/>
      </w:divBdr>
    </w:div>
    <w:div w:id="1167283843">
      <w:bodyDiv w:val="1"/>
      <w:marLeft w:val="0"/>
      <w:marRight w:val="0"/>
      <w:marTop w:val="0"/>
      <w:marBottom w:val="0"/>
      <w:divBdr>
        <w:top w:val="none" w:sz="0" w:space="0" w:color="auto"/>
        <w:left w:val="none" w:sz="0" w:space="0" w:color="auto"/>
        <w:bottom w:val="none" w:sz="0" w:space="0" w:color="auto"/>
        <w:right w:val="none" w:sz="0" w:space="0" w:color="auto"/>
      </w:divBdr>
    </w:div>
    <w:div w:id="1241480823">
      <w:bodyDiv w:val="1"/>
      <w:marLeft w:val="0"/>
      <w:marRight w:val="0"/>
      <w:marTop w:val="0"/>
      <w:marBottom w:val="0"/>
      <w:divBdr>
        <w:top w:val="none" w:sz="0" w:space="0" w:color="auto"/>
        <w:left w:val="none" w:sz="0" w:space="0" w:color="auto"/>
        <w:bottom w:val="none" w:sz="0" w:space="0" w:color="auto"/>
        <w:right w:val="none" w:sz="0" w:space="0" w:color="auto"/>
      </w:divBdr>
    </w:div>
    <w:div w:id="1306351033">
      <w:bodyDiv w:val="1"/>
      <w:marLeft w:val="0"/>
      <w:marRight w:val="0"/>
      <w:marTop w:val="0"/>
      <w:marBottom w:val="0"/>
      <w:divBdr>
        <w:top w:val="none" w:sz="0" w:space="0" w:color="auto"/>
        <w:left w:val="none" w:sz="0" w:space="0" w:color="auto"/>
        <w:bottom w:val="none" w:sz="0" w:space="0" w:color="auto"/>
        <w:right w:val="none" w:sz="0" w:space="0" w:color="auto"/>
      </w:divBdr>
    </w:div>
    <w:div w:id="1350982526">
      <w:bodyDiv w:val="1"/>
      <w:marLeft w:val="0"/>
      <w:marRight w:val="0"/>
      <w:marTop w:val="0"/>
      <w:marBottom w:val="0"/>
      <w:divBdr>
        <w:top w:val="none" w:sz="0" w:space="0" w:color="auto"/>
        <w:left w:val="none" w:sz="0" w:space="0" w:color="auto"/>
        <w:bottom w:val="none" w:sz="0" w:space="0" w:color="auto"/>
        <w:right w:val="none" w:sz="0" w:space="0" w:color="auto"/>
      </w:divBdr>
    </w:div>
    <w:div w:id="1673219657">
      <w:bodyDiv w:val="1"/>
      <w:marLeft w:val="0"/>
      <w:marRight w:val="0"/>
      <w:marTop w:val="0"/>
      <w:marBottom w:val="0"/>
      <w:divBdr>
        <w:top w:val="none" w:sz="0" w:space="0" w:color="auto"/>
        <w:left w:val="none" w:sz="0" w:space="0" w:color="auto"/>
        <w:bottom w:val="none" w:sz="0" w:space="0" w:color="auto"/>
        <w:right w:val="none" w:sz="0" w:space="0" w:color="auto"/>
      </w:divBdr>
    </w:div>
    <w:div w:id="1678072054">
      <w:bodyDiv w:val="1"/>
      <w:marLeft w:val="0"/>
      <w:marRight w:val="0"/>
      <w:marTop w:val="0"/>
      <w:marBottom w:val="0"/>
      <w:divBdr>
        <w:top w:val="none" w:sz="0" w:space="0" w:color="auto"/>
        <w:left w:val="none" w:sz="0" w:space="0" w:color="auto"/>
        <w:bottom w:val="none" w:sz="0" w:space="0" w:color="auto"/>
        <w:right w:val="none" w:sz="0" w:space="0" w:color="auto"/>
      </w:divBdr>
    </w:div>
    <w:div w:id="1681929804">
      <w:bodyDiv w:val="1"/>
      <w:marLeft w:val="0"/>
      <w:marRight w:val="0"/>
      <w:marTop w:val="0"/>
      <w:marBottom w:val="0"/>
      <w:divBdr>
        <w:top w:val="none" w:sz="0" w:space="0" w:color="auto"/>
        <w:left w:val="none" w:sz="0" w:space="0" w:color="auto"/>
        <w:bottom w:val="none" w:sz="0" w:space="0" w:color="auto"/>
        <w:right w:val="none" w:sz="0" w:space="0" w:color="auto"/>
      </w:divBdr>
    </w:div>
    <w:div w:id="173015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uk\ukvfmroot\A%20&amp;%20A\Manchester\Sports%20Group\Admin\Publications\Press%20releases%20general\Football\Transfers%20(Jan%2011)\www.deloitte.co.uk\sportsbusinessgroup" TargetMode="External"/><Relationship Id="rId17" Type="http://schemas.openxmlformats.org/officeDocument/2006/relationships/hyperlink" Target="mailto:jmoravkova@deloittece.com" TargetMode="External"/><Relationship Id="rId2" Type="http://schemas.openxmlformats.org/officeDocument/2006/relationships/customXml" Target="../customXml/item2.xml"/><Relationship Id="rId16" Type="http://schemas.openxmlformats.org/officeDocument/2006/relationships/hyperlink" Target="mailto:mmalysa@deloittec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loitte.co.uk/df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Deloitte_US_Letter_Print Theme">
  <a:themeElements>
    <a:clrScheme name="Deloitte">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ABDC31058704E843134350A983B6C" ma:contentTypeVersion="9" ma:contentTypeDescription="Create a new document." ma:contentTypeScope="" ma:versionID="dfcb74fe326febaa058d0dad11c71580">
  <xsd:schema xmlns:xsd="http://www.w3.org/2001/XMLSchema" xmlns:xs="http://www.w3.org/2001/XMLSchema" xmlns:p="http://schemas.microsoft.com/office/2006/metadata/properties" xmlns:ns2="f8459adc-0832-4882-92f0-865ac5afa043" xmlns:ns3="b0322370-96c7-4712-b230-f50754a93d1e" targetNamespace="http://schemas.microsoft.com/office/2006/metadata/properties" ma:root="true" ma:fieldsID="c89997b7a1534d25b9292818ee418365" ns2:_="" ns3:_="">
    <xsd:import namespace="f8459adc-0832-4882-92f0-865ac5afa043"/>
    <xsd:import namespace="b0322370-96c7-4712-b230-f50754a93d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59adc-0832-4882-92f0-865ac5afa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22370-96c7-4712-b230-f50754a93d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AC89A-6150-4015-830F-819CB13742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1DD381-1270-4C33-9155-718F96E72F4E}">
  <ds:schemaRefs>
    <ds:schemaRef ds:uri="http://schemas.microsoft.com/sharepoint/v3/contenttype/forms"/>
  </ds:schemaRefs>
</ds:datastoreItem>
</file>

<file path=customXml/itemProps3.xml><?xml version="1.0" encoding="utf-8"?>
<ds:datastoreItem xmlns:ds="http://schemas.openxmlformats.org/officeDocument/2006/customXml" ds:itemID="{A80878D0-C047-450F-8CE8-3355398F9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59adc-0832-4882-92f0-865ac5afa043"/>
    <ds:schemaRef ds:uri="b0322370-96c7-4712-b230-f50754a93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594A0-820F-43B3-A767-9F00C08F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2827</Words>
  <Characters>16685</Characters>
  <Application>Microsoft Office Word</Application>
  <DocSecurity>0</DocSecurity>
  <Lines>139</Lines>
  <Paragraphs>38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Proposal_A4</vt:lpstr>
      <vt:lpstr>Proposal_A4</vt:lpstr>
    </vt:vector>
  </TitlesOfParts>
  <Company>Deloitte Touche Tohmatsu Services, Inc.</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Proposal_A4</dc:title>
  <dc:subject/>
  <dc:creator>Malysa, Michal (CZ - Prague)</dc:creator>
  <cp:keywords/>
  <dc:description/>
  <cp:lastModifiedBy>Malysa, Michal</cp:lastModifiedBy>
  <cp:revision>4</cp:revision>
  <cp:lastPrinted>2018-10-01T11:48:00Z</cp:lastPrinted>
  <dcterms:created xsi:type="dcterms:W3CDTF">2021-01-25T13:59:00Z</dcterms:created>
  <dcterms:modified xsi:type="dcterms:W3CDTF">2021-01-26T08:53:00Z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0x010100F6DABDC31058704E843134350A983B6C</vt:lpwstr>
  </property>
</Properties>
</file>