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9C9" w:rsidRDefault="008D09C9" w:rsidP="008D09C9">
      <w:pPr>
        <w:spacing w:after="0" w:line="240" w:lineRule="auto"/>
        <w:contextualSpacing/>
        <w:jc w:val="center"/>
        <w:rPr>
          <w:rFonts w:ascii="Arial Narrow" w:hAnsi="Arial Narrow"/>
          <w:b/>
          <w:sz w:val="26"/>
          <w:szCs w:val="26"/>
          <w:u w:val="single"/>
        </w:rPr>
      </w:pPr>
      <w:r>
        <w:rPr>
          <w:rFonts w:ascii="Arial Narrow" w:hAnsi="Arial Narrow"/>
          <w:b/>
          <w:sz w:val="26"/>
          <w:szCs w:val="26"/>
          <w:u w:val="single"/>
        </w:rPr>
        <w:t xml:space="preserve">  </w:t>
      </w:r>
    </w:p>
    <w:p w:rsidR="008D09C9" w:rsidRDefault="008D09C9" w:rsidP="008D09C9">
      <w:pPr>
        <w:spacing w:after="0" w:line="240" w:lineRule="auto"/>
        <w:contextualSpacing/>
        <w:jc w:val="center"/>
        <w:rPr>
          <w:rFonts w:ascii="Arial Narrow" w:hAnsi="Arial Narrow"/>
          <w:b/>
          <w:sz w:val="26"/>
          <w:szCs w:val="26"/>
          <w:u w:val="single"/>
        </w:rPr>
      </w:pPr>
    </w:p>
    <w:p w:rsidR="008D09C9" w:rsidRDefault="008D09C9" w:rsidP="008D09C9">
      <w:pPr>
        <w:spacing w:after="0" w:line="240" w:lineRule="auto"/>
        <w:ind w:left="-142" w:right="-283"/>
        <w:contextualSpacing/>
        <w:jc w:val="center"/>
        <w:rPr>
          <w:rFonts w:ascii="Arial Narrow" w:hAnsi="Arial Narrow"/>
          <w:b/>
          <w:sz w:val="32"/>
          <w:szCs w:val="32"/>
        </w:rPr>
      </w:pPr>
      <w:r>
        <w:rPr>
          <w:rFonts w:ascii="Arial Narrow" w:hAnsi="Arial Narrow"/>
          <w:b/>
          <w:sz w:val="32"/>
          <w:szCs w:val="32"/>
        </w:rPr>
        <w:t xml:space="preserve">DECRET N°20/           DU               2020 MODIFIANT ET COMPLETANT </w:t>
      </w:r>
    </w:p>
    <w:p w:rsidR="008D09C9" w:rsidRDefault="008D09C9" w:rsidP="008D09C9">
      <w:pPr>
        <w:spacing w:after="0" w:line="240" w:lineRule="auto"/>
        <w:ind w:left="-142" w:right="-283"/>
        <w:contextualSpacing/>
        <w:jc w:val="center"/>
        <w:rPr>
          <w:rFonts w:ascii="Arial Narrow" w:hAnsi="Arial Narrow"/>
          <w:b/>
          <w:sz w:val="32"/>
          <w:szCs w:val="32"/>
        </w:rPr>
      </w:pPr>
      <w:r>
        <w:rPr>
          <w:rFonts w:ascii="Arial Narrow" w:hAnsi="Arial Narrow"/>
          <w:b/>
          <w:sz w:val="32"/>
          <w:szCs w:val="32"/>
        </w:rPr>
        <w:t>LE DECRET N°18/018 DU 24 MAI 2018 PORTANT MESURES D’APPLICATION DE LA LOI N°17/001 DU 08 FEVRIER 2017 FIXANT LES REGLES APPLICABLES A LA SOUS-TRAITANCE DANS LE SECTEUR PRIVE</w:t>
      </w:r>
    </w:p>
    <w:p w:rsidR="008D09C9" w:rsidRDefault="008D09C9" w:rsidP="008D09C9">
      <w:pPr>
        <w:spacing w:after="0" w:line="240" w:lineRule="auto"/>
        <w:contextualSpacing/>
        <w:jc w:val="both"/>
        <w:rPr>
          <w:rFonts w:ascii="Arial Narrow" w:hAnsi="Arial Narrow"/>
          <w:sz w:val="26"/>
          <w:szCs w:val="26"/>
        </w:rPr>
      </w:pPr>
      <w:r>
        <w:rPr>
          <w:noProof/>
          <w:lang w:eastAsia="fr-FR"/>
        </w:rPr>
        <mc:AlternateContent>
          <mc:Choice Requires="wps">
            <w:drawing>
              <wp:anchor distT="0" distB="0" distL="114300" distR="114300" simplePos="0" relativeHeight="251656704" behindDoc="0" locked="0" layoutInCell="1" allowOverlap="1">
                <wp:simplePos x="0" y="0"/>
                <wp:positionH relativeFrom="column">
                  <wp:posOffset>33655</wp:posOffset>
                </wp:positionH>
                <wp:positionV relativeFrom="paragraph">
                  <wp:posOffset>132080</wp:posOffset>
                </wp:positionV>
                <wp:extent cx="5905500" cy="0"/>
                <wp:effectExtent l="14605" t="17780" r="23495" b="2032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0E75D" id="_x0000_t32" coordsize="21600,21600" o:spt="32" o:oned="t" path="m,l21600,21600e" filled="f">
                <v:path arrowok="t" fillok="f" o:connecttype="none"/>
                <o:lock v:ext="edit" shapetype="t"/>
              </v:shapetype>
              <v:shape id="Connecteur droit avec flèche 3" o:spid="_x0000_s1026" type="#_x0000_t32" style="position:absolute;margin-left:2.65pt;margin-top:10.4pt;width: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" strokeweight="2.25pt"/>
            </w:pict>
          </mc:Fallback>
        </mc:AlternateContent>
      </w:r>
    </w:p>
    <w:p w:rsidR="008D09C9" w:rsidRDefault="008D09C9" w:rsidP="008D09C9">
      <w:pPr>
        <w:spacing w:after="0" w:line="240" w:lineRule="auto"/>
        <w:contextualSpacing/>
        <w:jc w:val="both"/>
        <w:rPr>
          <w:rFonts w:ascii="Arial Narrow" w:hAnsi="Arial Narrow"/>
          <w:sz w:val="26"/>
          <w:szCs w:val="26"/>
        </w:rPr>
      </w:pPr>
    </w:p>
    <w:p w:rsidR="008D09C9" w:rsidRDefault="008D09C9" w:rsidP="008D09C9">
      <w:pPr>
        <w:spacing w:after="0" w:line="240" w:lineRule="auto"/>
        <w:contextualSpacing/>
        <w:jc w:val="both"/>
        <w:rPr>
          <w:rFonts w:ascii="Arial Narrow" w:hAnsi="Arial Narrow"/>
          <w:sz w:val="26"/>
          <w:szCs w:val="26"/>
        </w:rPr>
      </w:pPr>
    </w:p>
    <w:p w:rsidR="008D09C9" w:rsidRDefault="008D09C9" w:rsidP="008D09C9">
      <w:pPr>
        <w:spacing w:after="0" w:line="240" w:lineRule="auto"/>
        <w:contextualSpacing/>
        <w:jc w:val="both"/>
        <w:rPr>
          <w:rFonts w:ascii="Arial Narrow" w:hAnsi="Arial Narrow"/>
          <w:sz w:val="26"/>
          <w:szCs w:val="26"/>
        </w:rPr>
      </w:pPr>
    </w:p>
    <w:p w:rsidR="008D09C9" w:rsidRDefault="008D09C9" w:rsidP="008D09C9">
      <w:pPr>
        <w:spacing w:after="0"/>
        <w:contextualSpacing/>
        <w:jc w:val="both"/>
        <w:rPr>
          <w:rFonts w:ascii="Arial Narrow" w:hAnsi="Arial Narrow"/>
          <w:b/>
          <w:sz w:val="32"/>
          <w:szCs w:val="32"/>
        </w:rPr>
      </w:pPr>
      <w:r>
        <w:rPr>
          <w:rFonts w:ascii="Arial Narrow" w:hAnsi="Arial Narrow"/>
          <w:b/>
          <w:sz w:val="32"/>
          <w:szCs w:val="32"/>
        </w:rPr>
        <w:t>Le Premier Ministre ;</w:t>
      </w:r>
    </w:p>
    <w:p w:rsidR="008D09C9" w:rsidRDefault="008D09C9" w:rsidP="008D09C9">
      <w:pPr>
        <w:spacing w:after="0"/>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la Constitution, telle que modifiée à ce jour par la Loi n°11/002 du 20 janvier 2011 portant révision de certains articles de la Constitution de la République Démocratique du Congo du 18 février 2006, spécialement en son article 92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telle que modifiée et complétée à ce jour,  la Loi n°15/2002 du 16 octobre 2002 portant Code du Travail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la Loi n°08/012 du 31 juillet 2008 portant principes fondamentaux relatifs à la libre administration des provinces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la Loi n°15/005 du 17 mars 2015 portant Code des assurances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la Loi n°17/001 du 08 février 2017 fixant les règles applicables à la sous-traitance dans le secteur privé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l’Ordonnance n°19/056 du 20 mai 2019 portant nomination d’un Premier Ministre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l’Ordonnance n°19/077 du 26 août 2019 portant nomination des Vice-Premiers Ministres, des Ministres d’Etat, des Ministres, des Ministres Délégués et des Vice-Ministres ;</w:t>
      </w: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 xml:space="preserve"> </w:t>
      </w: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l’Ordonnance n°20/016 du 27 mars 2020 portant organisation et fonctionnement du Gouvernement, modalités de collaboration entre le Président de la République et le Gouvernement, ainsi qu’entre les membres du Gouvernement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Vu l’Ordonnance n°20/017 du 27 mars 2020 fixant les attributions des Ministères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lastRenderedPageBreak/>
        <w:t>Revu le Décret n°18/018 du 24 mai 2018 portant mesures d’application de la Loi n°17/001 du 08 février 2017 fixant les règles applicables à la sous-traitance dans le secteur privé ;</w:t>
      </w: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Considérant les conclusions des concertations entre les parties prenantes, telles qu’initiées par le Gouvernement sur l’applicabilité de la Loi n°17/001 du 08 février 2017 fixant les règles applicables à la sous-traitance dans le secteur privé, et l’adoption du Rapport s’y rapportant par le Conseil des Ministres  en date du 05 juin 2020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Considérant la nécessité de modifier le Décret n°18/018 du 24 mai 2018 portant mesures d’application de la Loi n°17/001 du 08 février 2018 fixant les règles relatives à la sous-traitance dans le secteur privé, sur la base des conclusions contenues dans le Procès-Verbal ayant sanctionné lesdites concertations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Sur proposition du Ministre des Classes Moyennes, Petites et Moyennes Entreprises et  Artisanat ;</w:t>
      </w:r>
    </w:p>
    <w:p w:rsidR="008D09C9" w:rsidRDefault="008D09C9" w:rsidP="008D09C9">
      <w:pPr>
        <w:spacing w:after="0"/>
        <w:ind w:firstLine="1418"/>
        <w:contextualSpacing/>
        <w:jc w:val="both"/>
        <w:rPr>
          <w:rFonts w:ascii="Arial Narrow" w:hAnsi="Arial Narrow"/>
          <w:sz w:val="26"/>
          <w:szCs w:val="26"/>
        </w:rPr>
      </w:pPr>
    </w:p>
    <w:p w:rsidR="008D09C9" w:rsidRDefault="008D09C9" w:rsidP="008D09C9">
      <w:pPr>
        <w:spacing w:after="0"/>
        <w:ind w:firstLine="1418"/>
        <w:contextualSpacing/>
        <w:jc w:val="both"/>
        <w:rPr>
          <w:rFonts w:ascii="Arial Narrow" w:hAnsi="Arial Narrow"/>
          <w:sz w:val="26"/>
          <w:szCs w:val="26"/>
        </w:rPr>
      </w:pPr>
      <w:r>
        <w:rPr>
          <w:rFonts w:ascii="Arial Narrow" w:hAnsi="Arial Narrow"/>
          <w:sz w:val="26"/>
          <w:szCs w:val="26"/>
        </w:rPr>
        <w:t>Le Conseil des Ministres entendu ;</w:t>
      </w:r>
    </w:p>
    <w:p w:rsidR="008D09C9" w:rsidRDefault="008D09C9" w:rsidP="008D09C9">
      <w:pPr>
        <w:spacing w:after="0"/>
        <w:contextualSpacing/>
        <w:jc w:val="both"/>
        <w:rPr>
          <w:rFonts w:ascii="Arial Narrow" w:hAnsi="Arial Narrow"/>
          <w:sz w:val="26"/>
          <w:szCs w:val="26"/>
        </w:rPr>
      </w:pPr>
    </w:p>
    <w:p w:rsidR="008D09C9" w:rsidRDefault="008D09C9" w:rsidP="008D09C9">
      <w:pPr>
        <w:spacing w:after="0"/>
        <w:contextualSpacing/>
        <w:jc w:val="both"/>
        <w:rPr>
          <w:rFonts w:ascii="Arial Narrow" w:hAnsi="Arial Narrow"/>
          <w:sz w:val="26"/>
          <w:szCs w:val="26"/>
        </w:rPr>
      </w:pPr>
    </w:p>
    <w:p w:rsidR="008D09C9" w:rsidRDefault="008D09C9" w:rsidP="008D09C9">
      <w:pPr>
        <w:spacing w:after="0"/>
        <w:ind w:left="2832" w:firstLine="708"/>
        <w:contextualSpacing/>
        <w:jc w:val="both"/>
        <w:rPr>
          <w:rFonts w:ascii="Arial Narrow" w:hAnsi="Arial Narrow"/>
          <w:b/>
          <w:sz w:val="32"/>
          <w:szCs w:val="32"/>
          <w:u w:val="single"/>
        </w:rPr>
      </w:pPr>
      <w:r>
        <w:rPr>
          <w:rFonts w:ascii="Arial Narrow" w:hAnsi="Arial Narrow"/>
          <w:b/>
          <w:sz w:val="32"/>
          <w:szCs w:val="32"/>
          <w:u w:val="single"/>
        </w:rPr>
        <w:t>D E C R E T E :</w:t>
      </w:r>
    </w:p>
    <w:p w:rsidR="008D09C9" w:rsidRDefault="008D09C9" w:rsidP="008D09C9">
      <w:pPr>
        <w:spacing w:after="0"/>
        <w:ind w:left="2832" w:firstLine="708"/>
        <w:contextualSpacing/>
        <w:jc w:val="both"/>
        <w:rPr>
          <w:rFonts w:ascii="Arial Narrow" w:hAnsi="Arial Narrow"/>
          <w:b/>
          <w:sz w:val="32"/>
          <w:szCs w:val="32"/>
          <w:u w:val="single"/>
        </w:rPr>
      </w:pPr>
    </w:p>
    <w:p w:rsidR="008D09C9" w:rsidRDefault="008D09C9" w:rsidP="008D09C9">
      <w:pPr>
        <w:spacing w:after="0"/>
        <w:contextualSpacing/>
        <w:jc w:val="both"/>
        <w:rPr>
          <w:rFonts w:ascii="Arial Narrow" w:hAnsi="Arial Narrow"/>
          <w:sz w:val="26"/>
          <w:szCs w:val="26"/>
        </w:rPr>
      </w:pPr>
    </w:p>
    <w:p w:rsidR="008D09C9" w:rsidRDefault="008D09C9" w:rsidP="008D09C9">
      <w:pPr>
        <w:tabs>
          <w:tab w:val="left" w:pos="1134"/>
        </w:tabs>
        <w:spacing w:after="0"/>
        <w:ind w:left="1418" w:hanging="1418"/>
        <w:contextualSpacing/>
        <w:jc w:val="both"/>
        <w:rPr>
          <w:rFonts w:ascii="Arial Narrow" w:hAnsi="Arial Narrow"/>
          <w:sz w:val="26"/>
          <w:szCs w:val="26"/>
        </w:rPr>
      </w:pPr>
      <w:r>
        <w:rPr>
          <w:rFonts w:ascii="Arial Narrow" w:hAnsi="Arial Narrow"/>
          <w:b/>
          <w:sz w:val="26"/>
          <w:szCs w:val="26"/>
        </w:rPr>
        <w:t>Article 1</w:t>
      </w:r>
      <w:r>
        <w:rPr>
          <w:rFonts w:ascii="Arial Narrow" w:hAnsi="Arial Narrow"/>
          <w:b/>
          <w:sz w:val="26"/>
          <w:szCs w:val="26"/>
          <w:vertAlign w:val="superscript"/>
        </w:rPr>
        <w:t>er </w:t>
      </w:r>
      <w:r>
        <w:rPr>
          <w:rFonts w:ascii="Arial Narrow" w:hAnsi="Arial Narrow"/>
          <w:b/>
          <w:sz w:val="26"/>
          <w:szCs w:val="26"/>
          <w:vertAlign w:val="superscript"/>
        </w:rPr>
        <w:tab/>
      </w:r>
      <w:r>
        <w:rPr>
          <w:rFonts w:ascii="Arial Narrow" w:hAnsi="Arial Narrow"/>
          <w:b/>
          <w:sz w:val="26"/>
          <w:szCs w:val="26"/>
        </w:rPr>
        <w:t>:</w:t>
      </w:r>
      <w:r>
        <w:rPr>
          <w:rFonts w:ascii="Arial Narrow" w:hAnsi="Arial Narrow"/>
          <w:b/>
          <w:sz w:val="26"/>
          <w:szCs w:val="26"/>
        </w:rPr>
        <w:tab/>
      </w:r>
      <w:r>
        <w:rPr>
          <w:rFonts w:ascii="Arial Narrow" w:hAnsi="Arial Narrow"/>
          <w:sz w:val="26"/>
          <w:szCs w:val="26"/>
        </w:rPr>
        <w:t>Les articles 2, 12 et 14</w:t>
      </w:r>
      <w:r>
        <w:rPr>
          <w:rFonts w:ascii="Arial Narrow" w:hAnsi="Arial Narrow"/>
          <w:color w:val="FF0000"/>
          <w:sz w:val="26"/>
          <w:szCs w:val="26"/>
        </w:rPr>
        <w:t xml:space="preserve"> </w:t>
      </w:r>
      <w:r>
        <w:rPr>
          <w:rFonts w:ascii="Arial Narrow" w:hAnsi="Arial Narrow"/>
          <w:sz w:val="26"/>
          <w:szCs w:val="26"/>
        </w:rPr>
        <w:t xml:space="preserve">du Décret n°18/018 du 24 mai 2018 portant mesures d’application de la Loi n°17/001 du 08 février 2017 fixant les règles applicables à la sous-traitance dans le secteur privé sont modifiés comme suit : </w:t>
      </w:r>
    </w:p>
    <w:p w:rsidR="008D09C9" w:rsidRDefault="008D09C9" w:rsidP="008D09C9">
      <w:pPr>
        <w:tabs>
          <w:tab w:val="left" w:pos="1134"/>
        </w:tabs>
        <w:spacing w:after="0"/>
        <w:ind w:left="1418" w:hanging="1418"/>
        <w:contextualSpacing/>
        <w:jc w:val="both"/>
        <w:rPr>
          <w:rFonts w:ascii="Arial Narrow" w:hAnsi="Arial Narrow"/>
          <w:sz w:val="26"/>
          <w:szCs w:val="26"/>
        </w:rPr>
      </w:pPr>
    </w:p>
    <w:p w:rsidR="008D09C9" w:rsidRDefault="008D09C9" w:rsidP="008D09C9">
      <w:pPr>
        <w:tabs>
          <w:tab w:val="left" w:pos="1134"/>
        </w:tabs>
        <w:spacing w:after="0"/>
        <w:ind w:left="1418" w:hanging="1418"/>
        <w:contextualSpacing/>
        <w:jc w:val="both"/>
        <w:rPr>
          <w:rFonts w:ascii="Arial Narrow" w:hAnsi="Arial Narrow"/>
          <w:b/>
          <w:i/>
          <w:sz w:val="26"/>
          <w:szCs w:val="26"/>
        </w:rPr>
      </w:pPr>
      <w:r>
        <w:rPr>
          <w:rFonts w:ascii="Arial Narrow" w:hAnsi="Arial Narrow"/>
          <w:b/>
          <w:i/>
          <w:sz w:val="26"/>
          <w:szCs w:val="26"/>
        </w:rPr>
        <w:tab/>
      </w:r>
      <w:r>
        <w:rPr>
          <w:rFonts w:ascii="Arial Narrow" w:hAnsi="Arial Narrow"/>
          <w:b/>
          <w:i/>
          <w:sz w:val="26"/>
          <w:szCs w:val="26"/>
        </w:rPr>
        <w:tab/>
        <w:t>« Article 2 :</w:t>
      </w:r>
    </w:p>
    <w:p w:rsidR="008D09C9" w:rsidRDefault="008D09C9" w:rsidP="008D09C9">
      <w:pPr>
        <w:tabs>
          <w:tab w:val="left" w:pos="1134"/>
        </w:tabs>
        <w:spacing w:after="0"/>
        <w:ind w:left="1418" w:hanging="1418"/>
        <w:contextualSpacing/>
        <w:jc w:val="both"/>
        <w:rPr>
          <w:rFonts w:ascii="Arial Narrow" w:hAnsi="Arial Narrow"/>
          <w:i/>
          <w:sz w:val="26"/>
          <w:szCs w:val="26"/>
        </w:rPr>
      </w:pPr>
    </w:p>
    <w:p w:rsidR="008D09C9" w:rsidRDefault="008D09C9" w:rsidP="008D09C9">
      <w:pPr>
        <w:tabs>
          <w:tab w:val="left" w:pos="1134"/>
        </w:tabs>
        <w:spacing w:after="0"/>
        <w:ind w:left="1418" w:hanging="1418"/>
        <w:contextualSpacing/>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En application des dispositions des articles 2 et 3 de la Loi n°17/001 du 08 février 2017 fixant les règles relatives à la sous-traitance dans le secteur privé,  les services privés de placement, les assurances (réassurance, coassurance et courtage d’assurance), les banques et les professions libérales (avocats, experts comptables, notaires, huissiers, médecins, pharmaciens, etc.) sont, en principe, exclus du champ d’application de la sous-traitance.</w:t>
      </w:r>
    </w:p>
    <w:p w:rsidR="008D09C9" w:rsidRDefault="008D09C9" w:rsidP="008D09C9">
      <w:pPr>
        <w:tabs>
          <w:tab w:val="left" w:pos="1134"/>
        </w:tabs>
        <w:spacing w:after="0"/>
        <w:ind w:left="1418" w:hanging="1418"/>
        <w:contextualSpacing/>
        <w:jc w:val="both"/>
        <w:rPr>
          <w:rFonts w:ascii="Arial Narrow" w:hAnsi="Arial Narrow"/>
          <w:i/>
          <w:sz w:val="26"/>
          <w:szCs w:val="26"/>
        </w:rPr>
      </w:pPr>
      <w:r>
        <w:rPr>
          <w:rFonts w:ascii="Arial Narrow" w:hAnsi="Arial Narrow"/>
          <w:i/>
          <w:sz w:val="26"/>
          <w:szCs w:val="26"/>
        </w:rPr>
        <w:t xml:space="preserve"> </w:t>
      </w:r>
    </w:p>
    <w:p w:rsidR="008D09C9" w:rsidRDefault="008D09C9" w:rsidP="008D09C9">
      <w:pPr>
        <w:tabs>
          <w:tab w:val="left" w:pos="1134"/>
        </w:tabs>
        <w:spacing w:after="0"/>
        <w:ind w:left="1418" w:hanging="1418"/>
        <w:contextualSpacing/>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Toutefois, si dans l’exécution de son activité principale, de l’objet d’un marché ou d’un contrat nommé au sens du Code des contrats ou des obligations conventionnelles, une entreprise donnée sous-traite une partie de son activité ou devient sous-traitante d’une autre entreprise, ce nouveau lien juridique se conforme à la législation sur la sous-traitance ».</w:t>
      </w:r>
    </w:p>
    <w:p w:rsidR="008D09C9" w:rsidRDefault="008D09C9" w:rsidP="008D09C9">
      <w:pPr>
        <w:tabs>
          <w:tab w:val="left" w:pos="1134"/>
        </w:tabs>
        <w:spacing w:after="0"/>
        <w:ind w:left="1418" w:hanging="1418"/>
        <w:jc w:val="both"/>
        <w:rPr>
          <w:rFonts w:ascii="Arial Narrow" w:hAnsi="Arial Narrow"/>
          <w:sz w:val="26"/>
          <w:szCs w:val="26"/>
        </w:rPr>
      </w:pPr>
    </w:p>
    <w:p w:rsidR="008D09C9" w:rsidRDefault="008D09C9" w:rsidP="008D09C9">
      <w:pPr>
        <w:tabs>
          <w:tab w:val="left" w:pos="1134"/>
        </w:tabs>
        <w:spacing w:after="0"/>
        <w:ind w:left="1418" w:hanging="1418"/>
        <w:jc w:val="both"/>
        <w:rPr>
          <w:rFonts w:ascii="Arial Narrow" w:hAnsi="Arial Narrow"/>
          <w:b/>
          <w:i/>
          <w:sz w:val="26"/>
          <w:szCs w:val="26"/>
        </w:rPr>
      </w:pPr>
      <w:r>
        <w:rPr>
          <w:rFonts w:ascii="Arial Narrow" w:hAnsi="Arial Narrow"/>
          <w:i/>
          <w:sz w:val="26"/>
          <w:szCs w:val="26"/>
        </w:rPr>
        <w:lastRenderedPageBreak/>
        <w:tab/>
      </w:r>
      <w:r>
        <w:rPr>
          <w:rFonts w:ascii="Arial Narrow" w:hAnsi="Arial Narrow"/>
          <w:b/>
          <w:i/>
          <w:sz w:val="26"/>
          <w:szCs w:val="26"/>
        </w:rPr>
        <w:tab/>
        <w:t>« Article 12 :</w:t>
      </w:r>
    </w:p>
    <w:p w:rsidR="008D09C9" w:rsidRDefault="008D09C9" w:rsidP="008D09C9">
      <w:pPr>
        <w:tabs>
          <w:tab w:val="left" w:pos="1134"/>
        </w:tabs>
        <w:spacing w:after="0"/>
        <w:ind w:left="1418" w:hanging="1418"/>
        <w:jc w:val="both"/>
        <w:rPr>
          <w:rFonts w:ascii="Arial Narrow" w:hAnsi="Arial Narrow"/>
          <w:i/>
          <w:sz w:val="26"/>
          <w:szCs w:val="26"/>
        </w:rPr>
      </w:pPr>
    </w:p>
    <w:p w:rsidR="008D09C9" w:rsidRDefault="008D09C9" w:rsidP="008D09C9">
      <w:pPr>
        <w:tabs>
          <w:tab w:val="left" w:pos="1134"/>
        </w:tabs>
        <w:spacing w:after="0"/>
        <w:ind w:left="1418" w:hanging="1418"/>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Le contrôle de la sous-traitance dans le secteur privé se fait conformément aux prescrits de l’article 21 de la Loi n°17/001 du 8 février 2017 fixant les règles relatives à la sous-traitance dans le secteur privé.</w:t>
      </w:r>
    </w:p>
    <w:p w:rsidR="008D09C9" w:rsidRDefault="008D09C9" w:rsidP="008D09C9">
      <w:pPr>
        <w:tabs>
          <w:tab w:val="left" w:pos="1134"/>
        </w:tabs>
        <w:spacing w:after="0"/>
        <w:ind w:left="1418" w:hanging="1418"/>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 xml:space="preserve">A ce titre, le  contrôle effectué par l’Autorité de Régulation de la Sous-traitance dans le Secteur Privé (ARSP) se déroule suivant un calendrier bien déterminé,  afin de ne pas donner lieu à des contrôles multiples et simultanés sur un même opérateur économique par deux ou plusieurs services publics ». </w:t>
      </w:r>
    </w:p>
    <w:p w:rsidR="008D09C9" w:rsidRDefault="008D09C9" w:rsidP="008D09C9">
      <w:pPr>
        <w:tabs>
          <w:tab w:val="left" w:pos="1134"/>
        </w:tabs>
        <w:spacing w:after="0"/>
        <w:ind w:left="1418" w:hanging="1418"/>
        <w:jc w:val="both"/>
        <w:rPr>
          <w:rFonts w:ascii="Arial Narrow" w:hAnsi="Arial Narrow"/>
          <w:sz w:val="26"/>
          <w:szCs w:val="26"/>
        </w:rPr>
      </w:pPr>
    </w:p>
    <w:p w:rsidR="008D09C9" w:rsidRDefault="008D09C9" w:rsidP="008D09C9">
      <w:pPr>
        <w:tabs>
          <w:tab w:val="left" w:pos="1134"/>
        </w:tabs>
        <w:spacing w:after="0"/>
        <w:ind w:left="1418" w:hanging="1418"/>
        <w:jc w:val="both"/>
        <w:rPr>
          <w:rFonts w:ascii="Arial Narrow" w:hAnsi="Arial Narrow"/>
          <w:b/>
          <w:i/>
          <w:sz w:val="26"/>
          <w:szCs w:val="26"/>
        </w:rPr>
      </w:pPr>
      <w:r>
        <w:rPr>
          <w:rFonts w:ascii="Arial Narrow" w:hAnsi="Arial Narrow"/>
          <w:b/>
          <w:i/>
          <w:sz w:val="26"/>
          <w:szCs w:val="26"/>
        </w:rPr>
        <w:tab/>
      </w:r>
      <w:r>
        <w:rPr>
          <w:rFonts w:ascii="Arial Narrow" w:hAnsi="Arial Narrow"/>
          <w:b/>
          <w:i/>
          <w:sz w:val="26"/>
          <w:szCs w:val="26"/>
        </w:rPr>
        <w:tab/>
        <w:t>« Article 14 :</w:t>
      </w:r>
    </w:p>
    <w:p w:rsidR="008D09C9" w:rsidRDefault="008D09C9" w:rsidP="008D09C9">
      <w:pPr>
        <w:tabs>
          <w:tab w:val="left" w:pos="1134"/>
        </w:tabs>
        <w:spacing w:after="0"/>
        <w:ind w:left="1418" w:hanging="1418"/>
        <w:jc w:val="both"/>
        <w:rPr>
          <w:rFonts w:ascii="Arial Narrow" w:hAnsi="Arial Narrow"/>
          <w:i/>
          <w:sz w:val="26"/>
          <w:szCs w:val="26"/>
        </w:rPr>
      </w:pPr>
    </w:p>
    <w:p w:rsidR="008D09C9" w:rsidRDefault="008D09C9" w:rsidP="008D09C9">
      <w:pPr>
        <w:tabs>
          <w:tab w:val="left" w:pos="1134"/>
        </w:tabs>
        <w:spacing w:after="0"/>
        <w:ind w:left="1418" w:hanging="1418"/>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 xml:space="preserve">La Loi prévoit des sanctions de trois ordres en cas de violation de l’obligation de sous-traiter avec les entreprises à capitaux congolais promues par les congolais : les amendes dont les taux sont </w:t>
      </w:r>
      <w:proofErr w:type="gramStart"/>
      <w:r>
        <w:rPr>
          <w:rFonts w:ascii="Arial Narrow" w:hAnsi="Arial Narrow"/>
          <w:i/>
          <w:sz w:val="26"/>
          <w:szCs w:val="26"/>
        </w:rPr>
        <w:t>fixés</w:t>
      </w:r>
      <w:proofErr w:type="gramEnd"/>
      <w:r>
        <w:rPr>
          <w:rFonts w:ascii="Arial Narrow" w:hAnsi="Arial Narrow"/>
          <w:i/>
          <w:sz w:val="26"/>
          <w:szCs w:val="26"/>
        </w:rPr>
        <w:t xml:space="preserve"> par la Loi, la mesure administrative de fermeture momentanée et la nullité du contrat de sous-traitance.</w:t>
      </w:r>
    </w:p>
    <w:p w:rsidR="008D09C9" w:rsidRDefault="008D09C9" w:rsidP="008D09C9">
      <w:pPr>
        <w:tabs>
          <w:tab w:val="left" w:pos="1134"/>
        </w:tabs>
        <w:spacing w:after="0"/>
        <w:ind w:left="1418" w:hanging="1418"/>
        <w:jc w:val="both"/>
        <w:rPr>
          <w:rFonts w:ascii="Arial Narrow" w:hAnsi="Arial Narrow"/>
          <w:sz w:val="26"/>
          <w:szCs w:val="26"/>
        </w:rPr>
      </w:pPr>
    </w:p>
    <w:p w:rsidR="008D09C9" w:rsidRDefault="008D09C9" w:rsidP="008D09C9">
      <w:pPr>
        <w:tabs>
          <w:tab w:val="left" w:pos="1134"/>
        </w:tabs>
        <w:spacing w:after="0"/>
        <w:ind w:left="1418" w:hanging="1418"/>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Les infractions ainsi que toute autre violation à la Loi  pouvant donner lieu à l’application des amendes prévues en ses articles 28 alinéa 1</w:t>
      </w:r>
      <w:r>
        <w:rPr>
          <w:rFonts w:ascii="Arial Narrow" w:hAnsi="Arial Narrow"/>
          <w:i/>
          <w:sz w:val="26"/>
          <w:szCs w:val="26"/>
          <w:vertAlign w:val="superscript"/>
        </w:rPr>
        <w:t>er</w:t>
      </w:r>
      <w:r>
        <w:rPr>
          <w:rFonts w:ascii="Arial Narrow" w:hAnsi="Arial Narrow"/>
          <w:i/>
          <w:sz w:val="26"/>
          <w:szCs w:val="26"/>
        </w:rPr>
        <w:t xml:space="preserve"> et 29  sont constatées par les Officiers de Police Judiciaire assermentés, conformément aux disposit</w:t>
      </w:r>
      <w:r w:rsidR="00FC7C19">
        <w:rPr>
          <w:rFonts w:ascii="Arial Narrow" w:hAnsi="Arial Narrow"/>
          <w:i/>
          <w:sz w:val="26"/>
          <w:szCs w:val="26"/>
        </w:rPr>
        <w:t>ions légales en vigueur en la matière</w:t>
      </w:r>
      <w:r>
        <w:rPr>
          <w:rFonts w:ascii="Arial Narrow" w:hAnsi="Arial Narrow"/>
          <w:i/>
          <w:sz w:val="26"/>
          <w:szCs w:val="26"/>
        </w:rPr>
        <w:t>.</w:t>
      </w:r>
    </w:p>
    <w:p w:rsidR="008D09C9" w:rsidRDefault="008D09C9" w:rsidP="008D09C9">
      <w:pPr>
        <w:tabs>
          <w:tab w:val="left" w:pos="1134"/>
        </w:tabs>
        <w:spacing w:after="0"/>
        <w:ind w:left="1418" w:hanging="1418"/>
        <w:jc w:val="both"/>
        <w:rPr>
          <w:rFonts w:ascii="Arial Narrow" w:hAnsi="Arial Narrow"/>
          <w:i/>
          <w:sz w:val="26"/>
          <w:szCs w:val="26"/>
        </w:rPr>
      </w:pPr>
    </w:p>
    <w:p w:rsidR="008D09C9" w:rsidRDefault="008D09C9" w:rsidP="008D09C9">
      <w:pPr>
        <w:tabs>
          <w:tab w:val="left" w:pos="1134"/>
        </w:tabs>
        <w:spacing w:after="0"/>
        <w:ind w:left="1418" w:hanging="1418"/>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Conformément aux dispositions de l’article 28 de la Loi, la sanction administrative de fermeture momentanée de l’entreprise est prise, sur requête motivée de l’ARSP et selon le cas, par arrêté des Ministres ayant l’Economie, l’Industrie et les Petites et Moyennes Entreprises dans leurs attributions, par arrêté du  Gouverneur de Province ou par décision de l’autorité administrative locale, pour une durée ne dépassant pas six mois.</w:t>
      </w:r>
    </w:p>
    <w:p w:rsidR="008D09C9" w:rsidRDefault="008D09C9" w:rsidP="008D09C9">
      <w:pPr>
        <w:tabs>
          <w:tab w:val="left" w:pos="1134"/>
        </w:tabs>
        <w:spacing w:after="0"/>
        <w:ind w:left="1418" w:hanging="1418"/>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Les autorités visées à l’alinéa précédent sont tenues de communiquer leurs arrêtés ou décisions à l’ARSP endéans sept jours, pour application.</w:t>
      </w:r>
    </w:p>
    <w:p w:rsidR="008D09C9" w:rsidRDefault="008D09C9" w:rsidP="008D09C9">
      <w:pPr>
        <w:tabs>
          <w:tab w:val="left" w:pos="1134"/>
        </w:tabs>
        <w:spacing w:after="0"/>
        <w:ind w:left="1418" w:hanging="1418"/>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t>Il peut être formé un recours contre la mesure administrative de fermeture momentanée de l’entreprise, dans les conditions prévues par la Loi organique n°16/027 du 15 octobre 2016 portant organisation, compétence et fonctionnement des juridictions de l’ordre administratif.</w:t>
      </w:r>
    </w:p>
    <w:p w:rsidR="008D09C9" w:rsidRDefault="008D09C9" w:rsidP="008D09C9">
      <w:pPr>
        <w:tabs>
          <w:tab w:val="left" w:pos="1134"/>
        </w:tabs>
        <w:spacing w:after="0"/>
        <w:ind w:left="1418" w:hanging="1418"/>
        <w:jc w:val="both"/>
        <w:rPr>
          <w:rFonts w:ascii="Arial Narrow" w:hAnsi="Arial Narrow"/>
          <w:i/>
          <w:sz w:val="26"/>
          <w:szCs w:val="26"/>
        </w:rPr>
      </w:pPr>
    </w:p>
    <w:p w:rsidR="008D09C9" w:rsidRDefault="008D09C9" w:rsidP="008D09C9">
      <w:pPr>
        <w:tabs>
          <w:tab w:val="left" w:pos="2295"/>
        </w:tabs>
        <w:spacing w:after="0"/>
        <w:ind w:left="1418" w:hanging="1418"/>
        <w:jc w:val="both"/>
        <w:rPr>
          <w:rFonts w:ascii="Arial Narrow" w:hAnsi="Arial Narrow"/>
          <w:i/>
          <w:sz w:val="26"/>
          <w:szCs w:val="26"/>
        </w:rPr>
      </w:pPr>
      <w:r>
        <w:rPr>
          <w:rFonts w:ascii="Arial Narrow" w:hAnsi="Arial Narrow"/>
          <w:i/>
          <w:sz w:val="26"/>
          <w:szCs w:val="26"/>
        </w:rPr>
        <w:tab/>
        <w:t xml:space="preserve">La sanction de nullité de plein droit d’un  contrat de sous-traitance, visée à l’article 28 alinéa 3 de la Loi est </w:t>
      </w:r>
      <w:proofErr w:type="gramStart"/>
      <w:r>
        <w:rPr>
          <w:rFonts w:ascii="Arial Narrow" w:hAnsi="Arial Narrow"/>
          <w:i/>
          <w:sz w:val="26"/>
          <w:szCs w:val="26"/>
        </w:rPr>
        <w:t>prononcée</w:t>
      </w:r>
      <w:proofErr w:type="gramEnd"/>
      <w:r>
        <w:rPr>
          <w:rFonts w:ascii="Arial Narrow" w:hAnsi="Arial Narrow"/>
          <w:i/>
          <w:sz w:val="26"/>
          <w:szCs w:val="26"/>
        </w:rPr>
        <w:t xml:space="preserve"> par le juge</w:t>
      </w:r>
      <w:r w:rsidR="00FC7C19">
        <w:rPr>
          <w:rFonts w:ascii="Arial Narrow" w:hAnsi="Arial Narrow"/>
          <w:i/>
          <w:sz w:val="26"/>
          <w:szCs w:val="26"/>
        </w:rPr>
        <w:t xml:space="preserve"> compétent, </w:t>
      </w:r>
      <w:r>
        <w:rPr>
          <w:rFonts w:ascii="Arial Narrow" w:hAnsi="Arial Narrow"/>
          <w:i/>
          <w:sz w:val="26"/>
          <w:szCs w:val="26"/>
        </w:rPr>
        <w:t xml:space="preserve"> saisi par l’ARSP dans les quinze </w:t>
      </w:r>
      <w:r w:rsidR="00FC7C19">
        <w:rPr>
          <w:rFonts w:ascii="Arial Narrow" w:hAnsi="Arial Narrow"/>
          <w:i/>
          <w:sz w:val="26"/>
          <w:szCs w:val="26"/>
        </w:rPr>
        <w:t xml:space="preserve">jours </w:t>
      </w:r>
      <w:r>
        <w:rPr>
          <w:rFonts w:ascii="Arial Narrow" w:hAnsi="Arial Narrow"/>
          <w:i/>
          <w:sz w:val="26"/>
          <w:szCs w:val="26"/>
        </w:rPr>
        <w:t xml:space="preserve">à dater de la connaissance des faits. </w:t>
      </w:r>
    </w:p>
    <w:p w:rsidR="008D09C9" w:rsidRDefault="008D09C9" w:rsidP="008D09C9">
      <w:pPr>
        <w:tabs>
          <w:tab w:val="left" w:pos="1134"/>
        </w:tabs>
        <w:spacing w:after="0"/>
        <w:ind w:left="1418" w:hanging="1418"/>
        <w:jc w:val="both"/>
        <w:rPr>
          <w:rFonts w:ascii="Arial Narrow" w:hAnsi="Arial Narrow"/>
          <w:strike/>
          <w:color w:val="FF0000"/>
          <w:sz w:val="26"/>
          <w:szCs w:val="26"/>
        </w:rPr>
      </w:pPr>
    </w:p>
    <w:p w:rsidR="008D09C9" w:rsidRDefault="008D09C9" w:rsidP="008D09C9">
      <w:pPr>
        <w:tabs>
          <w:tab w:val="left" w:pos="1134"/>
        </w:tabs>
        <w:spacing w:after="0"/>
        <w:ind w:left="1418" w:hanging="1418"/>
        <w:jc w:val="both"/>
        <w:rPr>
          <w:rFonts w:ascii="Arial Narrow" w:hAnsi="Arial Narrow"/>
          <w:sz w:val="26"/>
          <w:szCs w:val="26"/>
        </w:rPr>
      </w:pPr>
    </w:p>
    <w:p w:rsidR="008D09C9" w:rsidRDefault="008D09C9" w:rsidP="008D09C9">
      <w:pPr>
        <w:tabs>
          <w:tab w:val="left" w:pos="1134"/>
        </w:tabs>
        <w:spacing w:after="0"/>
        <w:ind w:left="1418" w:hanging="1418"/>
        <w:jc w:val="both"/>
        <w:rPr>
          <w:rFonts w:ascii="Arial Narrow" w:hAnsi="Arial Narrow"/>
          <w:sz w:val="26"/>
          <w:szCs w:val="26"/>
        </w:rPr>
      </w:pPr>
      <w:r>
        <w:rPr>
          <w:rFonts w:ascii="Arial Narrow" w:hAnsi="Arial Narrow"/>
          <w:b/>
          <w:sz w:val="26"/>
          <w:szCs w:val="26"/>
        </w:rPr>
        <w:lastRenderedPageBreak/>
        <w:t>Article 2 </w:t>
      </w:r>
      <w:r>
        <w:rPr>
          <w:rFonts w:ascii="Arial Narrow" w:hAnsi="Arial Narrow"/>
          <w:b/>
          <w:sz w:val="26"/>
          <w:szCs w:val="26"/>
        </w:rPr>
        <w:tab/>
        <w:t>:</w:t>
      </w:r>
      <w:r>
        <w:rPr>
          <w:rFonts w:ascii="Arial Narrow" w:hAnsi="Arial Narrow"/>
          <w:b/>
          <w:sz w:val="26"/>
          <w:szCs w:val="26"/>
        </w:rPr>
        <w:tab/>
      </w:r>
      <w:r>
        <w:rPr>
          <w:rFonts w:ascii="Arial Narrow" w:hAnsi="Arial Narrow"/>
          <w:sz w:val="26"/>
          <w:szCs w:val="26"/>
        </w:rPr>
        <w:t>Il est inséré un article 10 bis libellé comme suit :</w:t>
      </w:r>
    </w:p>
    <w:p w:rsidR="008D09C9" w:rsidRDefault="008D09C9" w:rsidP="008D09C9">
      <w:pPr>
        <w:tabs>
          <w:tab w:val="left" w:pos="1134"/>
        </w:tabs>
        <w:spacing w:after="0"/>
        <w:ind w:left="1418" w:hanging="1418"/>
        <w:jc w:val="both"/>
        <w:rPr>
          <w:rFonts w:ascii="Arial Narrow" w:hAnsi="Arial Narrow"/>
          <w:sz w:val="26"/>
          <w:szCs w:val="26"/>
        </w:rPr>
      </w:pPr>
    </w:p>
    <w:p w:rsidR="008D09C9" w:rsidRDefault="008D09C9" w:rsidP="008D09C9">
      <w:pPr>
        <w:tabs>
          <w:tab w:val="left" w:pos="1134"/>
        </w:tabs>
        <w:spacing w:after="0"/>
        <w:ind w:left="1418" w:hanging="1418"/>
        <w:jc w:val="both"/>
        <w:rPr>
          <w:rFonts w:ascii="Arial Narrow" w:hAnsi="Arial Narrow"/>
          <w:b/>
          <w:i/>
          <w:sz w:val="26"/>
          <w:szCs w:val="26"/>
        </w:rPr>
      </w:pPr>
      <w:r>
        <w:rPr>
          <w:rFonts w:ascii="Arial Narrow" w:hAnsi="Arial Narrow"/>
          <w:i/>
          <w:sz w:val="26"/>
          <w:szCs w:val="26"/>
        </w:rPr>
        <w:tab/>
      </w:r>
      <w:r>
        <w:rPr>
          <w:rFonts w:ascii="Arial Narrow" w:hAnsi="Arial Narrow"/>
          <w:i/>
          <w:sz w:val="26"/>
          <w:szCs w:val="26"/>
        </w:rPr>
        <w:tab/>
      </w:r>
      <w:r>
        <w:rPr>
          <w:rFonts w:ascii="Arial Narrow" w:hAnsi="Arial Narrow"/>
          <w:b/>
          <w:i/>
          <w:sz w:val="26"/>
          <w:szCs w:val="26"/>
        </w:rPr>
        <w:t>« Article 10 bis :</w:t>
      </w:r>
    </w:p>
    <w:p w:rsidR="008D09C9" w:rsidRDefault="008D09C9" w:rsidP="008D09C9">
      <w:pPr>
        <w:tabs>
          <w:tab w:val="left" w:pos="1134"/>
        </w:tabs>
        <w:spacing w:after="0"/>
        <w:ind w:left="1418" w:hanging="1418"/>
        <w:jc w:val="both"/>
        <w:rPr>
          <w:rFonts w:ascii="Arial Narrow" w:hAnsi="Arial Narrow"/>
          <w:i/>
          <w:sz w:val="26"/>
          <w:szCs w:val="26"/>
        </w:rPr>
      </w:pPr>
    </w:p>
    <w:p w:rsidR="008D09C9" w:rsidRDefault="008D09C9" w:rsidP="008D09C9">
      <w:pPr>
        <w:tabs>
          <w:tab w:val="left" w:pos="1134"/>
        </w:tabs>
        <w:spacing w:after="0"/>
        <w:ind w:left="1418" w:hanging="1418"/>
        <w:jc w:val="both"/>
        <w:rPr>
          <w:rFonts w:ascii="Arial Narrow" w:hAnsi="Arial Narrow"/>
          <w:i/>
          <w:sz w:val="26"/>
          <w:szCs w:val="26"/>
        </w:rPr>
      </w:pPr>
      <w:r>
        <w:rPr>
          <w:rFonts w:ascii="Arial Narrow" w:hAnsi="Arial Narrow"/>
          <w:i/>
          <w:sz w:val="26"/>
          <w:szCs w:val="26"/>
        </w:rPr>
        <w:tab/>
      </w:r>
      <w:r>
        <w:rPr>
          <w:rFonts w:ascii="Arial Narrow" w:hAnsi="Arial Narrow"/>
          <w:i/>
          <w:sz w:val="26"/>
          <w:szCs w:val="26"/>
        </w:rPr>
        <w:tab/>
      </w:r>
      <w:r w:rsidR="00FC7C19">
        <w:rPr>
          <w:rFonts w:ascii="Arial Narrow" w:hAnsi="Arial Narrow"/>
          <w:i/>
          <w:sz w:val="26"/>
          <w:szCs w:val="26"/>
        </w:rPr>
        <w:t>En application des dispositions de l’article 6 de la Loi, l</w:t>
      </w:r>
      <w:r>
        <w:rPr>
          <w:rFonts w:ascii="Arial Narrow" w:hAnsi="Arial Narrow"/>
          <w:i/>
          <w:sz w:val="26"/>
          <w:szCs w:val="26"/>
        </w:rPr>
        <w:t>es modalités de  g</w:t>
      </w:r>
      <w:r w:rsidR="00FC7C19">
        <w:rPr>
          <w:rFonts w:ascii="Arial Narrow" w:hAnsi="Arial Narrow"/>
          <w:i/>
          <w:sz w:val="26"/>
          <w:szCs w:val="26"/>
        </w:rPr>
        <w:t>estion des dérogations</w:t>
      </w:r>
      <w:r>
        <w:rPr>
          <w:rFonts w:ascii="Arial Narrow" w:hAnsi="Arial Narrow"/>
          <w:i/>
          <w:sz w:val="26"/>
          <w:szCs w:val="26"/>
        </w:rPr>
        <w:t>, du fait de l’indisponibilité ou de l’inaccessibilité de l’expertise locale, sont fixées par Arrêté du Ministre de Tutelle, sur proposition de l’ARSP. »</w:t>
      </w:r>
    </w:p>
    <w:p w:rsidR="008D09C9" w:rsidRDefault="008D09C9" w:rsidP="008D09C9">
      <w:pPr>
        <w:tabs>
          <w:tab w:val="left" w:pos="1134"/>
        </w:tabs>
        <w:spacing w:after="0"/>
        <w:ind w:left="1418" w:hanging="1418"/>
        <w:jc w:val="both"/>
        <w:rPr>
          <w:rFonts w:ascii="Arial Narrow" w:hAnsi="Arial Narrow"/>
          <w:i/>
          <w:sz w:val="26"/>
          <w:szCs w:val="26"/>
        </w:rPr>
      </w:pPr>
    </w:p>
    <w:p w:rsidR="008D09C9" w:rsidRDefault="008D09C9" w:rsidP="008D09C9">
      <w:pPr>
        <w:tabs>
          <w:tab w:val="left" w:pos="1134"/>
        </w:tabs>
        <w:spacing w:after="0"/>
        <w:ind w:left="1418" w:hanging="1418"/>
        <w:jc w:val="both"/>
        <w:rPr>
          <w:rFonts w:ascii="Arial Narrow" w:hAnsi="Arial Narrow"/>
          <w:sz w:val="26"/>
          <w:szCs w:val="26"/>
        </w:rPr>
      </w:pPr>
      <w:r>
        <w:rPr>
          <w:rFonts w:ascii="Arial Narrow" w:hAnsi="Arial Narrow"/>
          <w:b/>
          <w:sz w:val="26"/>
          <w:szCs w:val="26"/>
        </w:rPr>
        <w:t>Article 3 </w:t>
      </w:r>
      <w:r>
        <w:rPr>
          <w:rFonts w:ascii="Arial Narrow" w:hAnsi="Arial Narrow"/>
          <w:b/>
          <w:sz w:val="26"/>
          <w:szCs w:val="26"/>
        </w:rPr>
        <w:tab/>
        <w:t>:</w:t>
      </w:r>
      <w:r>
        <w:rPr>
          <w:rFonts w:ascii="Arial Narrow" w:hAnsi="Arial Narrow"/>
          <w:b/>
          <w:sz w:val="26"/>
          <w:szCs w:val="26"/>
        </w:rPr>
        <w:tab/>
      </w:r>
      <w:r>
        <w:rPr>
          <w:rFonts w:ascii="Arial Narrow" w:hAnsi="Arial Narrow"/>
          <w:sz w:val="26"/>
          <w:szCs w:val="26"/>
        </w:rPr>
        <w:t>Sont abrogées, toutes les dispositions antérieures contraires au présent Décret.</w:t>
      </w:r>
    </w:p>
    <w:p w:rsidR="008D09C9" w:rsidRDefault="008D09C9" w:rsidP="008D09C9">
      <w:pPr>
        <w:tabs>
          <w:tab w:val="left" w:pos="1134"/>
        </w:tabs>
        <w:spacing w:after="0"/>
        <w:ind w:left="1418" w:hanging="1418"/>
        <w:jc w:val="both"/>
        <w:rPr>
          <w:rFonts w:ascii="Arial Narrow" w:hAnsi="Arial Narrow"/>
          <w:sz w:val="26"/>
          <w:szCs w:val="26"/>
        </w:rPr>
      </w:pPr>
    </w:p>
    <w:p w:rsidR="008D09C9" w:rsidRDefault="008D09C9" w:rsidP="008D09C9">
      <w:pPr>
        <w:tabs>
          <w:tab w:val="left" w:pos="1134"/>
        </w:tabs>
        <w:spacing w:after="0"/>
        <w:ind w:left="1418" w:hanging="1418"/>
        <w:jc w:val="both"/>
        <w:rPr>
          <w:rFonts w:ascii="Arial Narrow" w:hAnsi="Arial Narrow"/>
          <w:sz w:val="26"/>
          <w:szCs w:val="26"/>
        </w:rPr>
      </w:pPr>
      <w:r>
        <w:rPr>
          <w:rFonts w:ascii="Arial Narrow" w:hAnsi="Arial Narrow"/>
          <w:b/>
          <w:sz w:val="26"/>
          <w:szCs w:val="26"/>
        </w:rPr>
        <w:t>Article 4 </w:t>
      </w:r>
      <w:r>
        <w:rPr>
          <w:rFonts w:ascii="Arial Narrow" w:hAnsi="Arial Narrow"/>
          <w:b/>
          <w:sz w:val="26"/>
          <w:szCs w:val="26"/>
        </w:rPr>
        <w:tab/>
        <w:t>:</w:t>
      </w:r>
      <w:r>
        <w:rPr>
          <w:rFonts w:ascii="Arial Narrow" w:hAnsi="Arial Narrow"/>
          <w:b/>
          <w:sz w:val="26"/>
          <w:szCs w:val="26"/>
        </w:rPr>
        <w:tab/>
      </w:r>
      <w:r>
        <w:rPr>
          <w:rFonts w:ascii="Arial Narrow" w:hAnsi="Arial Narrow"/>
          <w:sz w:val="26"/>
          <w:szCs w:val="26"/>
        </w:rPr>
        <w:t>Le Ministre ayant les Petites et Moyennes Entreprises dans ses attributions est chargé de l’application du présent Décret qui entre en vigueur à la date de sa signature.</w:t>
      </w:r>
    </w:p>
    <w:p w:rsidR="008D09C9" w:rsidRDefault="008D09C9" w:rsidP="008D09C9">
      <w:pPr>
        <w:tabs>
          <w:tab w:val="left" w:pos="1134"/>
          <w:tab w:val="left" w:pos="3828"/>
        </w:tabs>
        <w:spacing w:after="0"/>
        <w:jc w:val="both"/>
        <w:rPr>
          <w:rFonts w:ascii="Arial Narrow" w:hAnsi="Arial Narrow"/>
          <w:sz w:val="26"/>
          <w:szCs w:val="26"/>
        </w:rPr>
      </w:pPr>
    </w:p>
    <w:p w:rsidR="008D09C9" w:rsidRDefault="008D09C9" w:rsidP="008D09C9">
      <w:pPr>
        <w:tabs>
          <w:tab w:val="left" w:pos="3828"/>
        </w:tabs>
        <w:spacing w:after="0"/>
        <w:jc w:val="center"/>
        <w:rPr>
          <w:rFonts w:ascii="Arial Narrow" w:hAnsi="Arial Narrow"/>
          <w:sz w:val="26"/>
          <w:szCs w:val="26"/>
        </w:rPr>
      </w:pPr>
      <w:r>
        <w:rPr>
          <w:rFonts w:ascii="Arial Narrow" w:hAnsi="Arial Narrow"/>
          <w:sz w:val="26"/>
          <w:szCs w:val="26"/>
        </w:rPr>
        <w:t>Fait à Kinshasa, le</w:t>
      </w:r>
    </w:p>
    <w:p w:rsidR="008D09C9" w:rsidRDefault="008D09C9" w:rsidP="008D09C9">
      <w:pPr>
        <w:tabs>
          <w:tab w:val="left" w:pos="3828"/>
        </w:tabs>
        <w:spacing w:after="0"/>
        <w:rPr>
          <w:rFonts w:ascii="Arial Narrow" w:hAnsi="Arial Narrow"/>
          <w:sz w:val="26"/>
          <w:szCs w:val="26"/>
        </w:rPr>
      </w:pPr>
    </w:p>
    <w:p w:rsidR="008D09C9" w:rsidRDefault="008D09C9" w:rsidP="008D09C9">
      <w:pPr>
        <w:tabs>
          <w:tab w:val="left" w:pos="3828"/>
        </w:tabs>
        <w:spacing w:after="0"/>
        <w:jc w:val="center"/>
        <w:rPr>
          <w:rFonts w:ascii="Arial Narrow" w:hAnsi="Arial Narrow"/>
          <w:sz w:val="26"/>
          <w:szCs w:val="26"/>
        </w:rPr>
      </w:pPr>
    </w:p>
    <w:p w:rsidR="008D09C9" w:rsidRDefault="008D09C9" w:rsidP="008D09C9">
      <w:pPr>
        <w:tabs>
          <w:tab w:val="left" w:pos="3828"/>
        </w:tabs>
        <w:spacing w:after="0"/>
        <w:jc w:val="center"/>
        <w:rPr>
          <w:rFonts w:ascii="Arial Narrow" w:hAnsi="Arial Narrow"/>
          <w:b/>
          <w:sz w:val="26"/>
          <w:szCs w:val="26"/>
        </w:rPr>
      </w:pPr>
      <w:r>
        <w:rPr>
          <w:rFonts w:ascii="Arial Narrow" w:hAnsi="Arial Narrow"/>
          <w:b/>
          <w:sz w:val="26"/>
          <w:szCs w:val="26"/>
        </w:rPr>
        <w:t>Sylvestre ILUNGA ILUNKAMBA</w:t>
      </w:r>
    </w:p>
    <w:p w:rsidR="008D09C9" w:rsidRDefault="008D09C9" w:rsidP="008D09C9">
      <w:pPr>
        <w:tabs>
          <w:tab w:val="left" w:pos="3828"/>
        </w:tabs>
        <w:spacing w:after="0"/>
        <w:jc w:val="center"/>
        <w:rPr>
          <w:rFonts w:ascii="Arial Narrow" w:hAnsi="Arial Narrow"/>
          <w:b/>
          <w:sz w:val="26"/>
          <w:szCs w:val="26"/>
        </w:rPr>
      </w:pPr>
    </w:p>
    <w:p w:rsidR="008D09C9" w:rsidRDefault="008D09C9" w:rsidP="008D09C9">
      <w:pPr>
        <w:tabs>
          <w:tab w:val="left" w:pos="3828"/>
        </w:tabs>
        <w:spacing w:after="0"/>
        <w:jc w:val="center"/>
        <w:rPr>
          <w:rFonts w:ascii="Arial Narrow" w:hAnsi="Arial Narrow"/>
          <w:b/>
          <w:sz w:val="26"/>
          <w:szCs w:val="26"/>
        </w:rPr>
      </w:pPr>
    </w:p>
    <w:p w:rsidR="008D09C9" w:rsidRDefault="008D09C9" w:rsidP="008D09C9">
      <w:pPr>
        <w:tabs>
          <w:tab w:val="left" w:pos="3828"/>
        </w:tabs>
        <w:spacing w:after="0"/>
        <w:jc w:val="center"/>
        <w:rPr>
          <w:rFonts w:ascii="Arial Narrow" w:hAnsi="Arial Narrow"/>
          <w:b/>
          <w:sz w:val="26"/>
          <w:szCs w:val="26"/>
        </w:rPr>
      </w:pPr>
    </w:p>
    <w:p w:rsidR="008D09C9" w:rsidRDefault="008D09C9" w:rsidP="008D09C9">
      <w:pPr>
        <w:tabs>
          <w:tab w:val="left" w:pos="3828"/>
        </w:tabs>
        <w:spacing w:after="0"/>
        <w:jc w:val="center"/>
        <w:rPr>
          <w:rFonts w:ascii="Arial Narrow" w:hAnsi="Arial Narrow"/>
          <w:b/>
          <w:sz w:val="26"/>
          <w:szCs w:val="26"/>
          <w:u w:val="single"/>
        </w:rPr>
      </w:pPr>
      <w:r>
        <w:rPr>
          <w:rFonts w:ascii="Arial Narrow" w:hAnsi="Arial Narrow"/>
          <w:b/>
          <w:sz w:val="26"/>
          <w:szCs w:val="26"/>
          <w:u w:val="single"/>
        </w:rPr>
        <w:t>Me Justin KALUMBA MWANA-NGONGO</w:t>
      </w:r>
    </w:p>
    <w:p w:rsidR="008D09C9" w:rsidRDefault="008D09C9" w:rsidP="008D09C9">
      <w:pPr>
        <w:tabs>
          <w:tab w:val="left" w:pos="3828"/>
        </w:tabs>
        <w:spacing w:after="0"/>
        <w:jc w:val="center"/>
        <w:rPr>
          <w:rFonts w:ascii="Arial Narrow" w:hAnsi="Arial Narrow"/>
          <w:b/>
          <w:i/>
          <w:sz w:val="26"/>
          <w:szCs w:val="26"/>
        </w:rPr>
      </w:pPr>
      <w:r>
        <w:rPr>
          <w:rFonts w:ascii="Arial Narrow" w:hAnsi="Arial Narrow"/>
          <w:b/>
          <w:i/>
          <w:sz w:val="26"/>
          <w:szCs w:val="26"/>
        </w:rPr>
        <w:t>Ministre des Classes Moyennes, Petites et Moyennes Entreprises, Artisanat</w:t>
      </w:r>
      <w:bookmarkStart w:id="0" w:name="_GoBack"/>
      <w:bookmarkEnd w:id="0"/>
      <w:r>
        <w:rPr>
          <w:noProof/>
          <w:lang w:eastAsia="fr-FR"/>
        </w:rPr>
        <mc:AlternateContent>
          <mc:Choice Requires="wps">
            <w:drawing>
              <wp:anchor distT="0" distB="0" distL="114300" distR="114300" simplePos="0" relativeHeight="251658752" behindDoc="0" locked="0" layoutInCell="1" allowOverlap="1">
                <wp:simplePos x="0" y="0"/>
                <wp:positionH relativeFrom="column">
                  <wp:posOffset>281940</wp:posOffset>
                </wp:positionH>
                <wp:positionV relativeFrom="paragraph">
                  <wp:posOffset>8283575</wp:posOffset>
                </wp:positionV>
                <wp:extent cx="3003550" cy="699135"/>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9C9" w:rsidRDefault="008D09C9" w:rsidP="008D09C9">
                            <w:pPr>
                              <w:rPr>
                                <w:b/>
                                <w:i/>
                                <w:color w:val="FFFFFF" w:themeColor="background1"/>
                                <w:sz w:val="16"/>
                                <w:szCs w:val="16"/>
                              </w:rPr>
                            </w:pPr>
                            <w:r>
                              <w:rPr>
                                <w:b/>
                                <w:i/>
                                <w:color w:val="FFFFFF" w:themeColor="background1"/>
                                <w:sz w:val="16"/>
                                <w:szCs w:val="16"/>
                              </w:rPr>
                              <w:t>Min</w:t>
                            </w:r>
                            <w:r>
                              <w:rPr>
                                <w:b/>
                                <w:i/>
                                <w:color w:val="FFFFFF" w:themeColor="background1"/>
                                <w:sz w:val="16"/>
                                <w:szCs w:val="16"/>
                              </w:rPr>
                              <w:tab/>
                              <w:t xml:space="preserve">: </w:t>
                            </w:r>
                            <w:proofErr w:type="spellStart"/>
                            <w:r>
                              <w:rPr>
                                <w:b/>
                                <w:i/>
                                <w:color w:val="FFFFFF" w:themeColor="background1"/>
                                <w:sz w:val="16"/>
                                <w:szCs w:val="16"/>
                              </w:rPr>
                              <w:t>Dircaba</w:t>
                            </w:r>
                            <w:proofErr w:type="spellEnd"/>
                          </w:p>
                          <w:p w:rsidR="008D09C9" w:rsidRDefault="008D09C9" w:rsidP="008D09C9">
                            <w:pPr>
                              <w:rPr>
                                <w:b/>
                                <w:i/>
                                <w:color w:val="FFFFFF" w:themeColor="background1"/>
                                <w:sz w:val="16"/>
                                <w:szCs w:val="16"/>
                              </w:rPr>
                            </w:pPr>
                            <w:proofErr w:type="spellStart"/>
                            <w:r>
                              <w:rPr>
                                <w:b/>
                                <w:i/>
                                <w:color w:val="FFFFFF" w:themeColor="background1"/>
                                <w:sz w:val="16"/>
                                <w:szCs w:val="16"/>
                              </w:rPr>
                              <w:t>Trt</w:t>
                            </w:r>
                            <w:proofErr w:type="spellEnd"/>
                            <w:r>
                              <w:rPr>
                                <w:b/>
                                <w:i/>
                                <w:color w:val="FFFFFF" w:themeColor="background1"/>
                                <w:sz w:val="16"/>
                                <w:szCs w:val="16"/>
                              </w:rPr>
                              <w:tab/>
                              <w:t xml:space="preserve">: Marcel </w:t>
                            </w:r>
                            <w:proofErr w:type="spellStart"/>
                            <w:r>
                              <w:rPr>
                                <w:b/>
                                <w:i/>
                                <w:color w:val="FFFFFF" w:themeColor="background1"/>
                                <w:sz w:val="16"/>
                                <w:szCs w:val="16"/>
                              </w:rPr>
                              <w:t>Katshayi</w:t>
                            </w:r>
                            <w:proofErr w:type="spellEnd"/>
                            <w:r>
                              <w:rPr>
                                <w:b/>
                                <w:i/>
                                <w:color w:val="FFFFFF" w:themeColor="background1"/>
                                <w:sz w:val="16"/>
                                <w:szCs w:val="16"/>
                              </w:rPr>
                              <w:t xml:space="preserve"> (Voir PC </w:t>
                            </w:r>
                            <w:proofErr w:type="spellStart"/>
                            <w:r>
                              <w:rPr>
                                <w:b/>
                                <w:i/>
                                <w:color w:val="FFFFFF" w:themeColor="background1"/>
                                <w:sz w:val="16"/>
                                <w:szCs w:val="16"/>
                              </w:rPr>
                              <w:t>Manoll</w:t>
                            </w:r>
                            <w:proofErr w:type="spellEnd"/>
                            <w:r>
                              <w:rPr>
                                <w:b/>
                                <w:i/>
                                <w:color w:val="FFFFFF" w:themeColor="background1"/>
                                <w:sz w:val="16"/>
                                <w:szCs w:val="16"/>
                              </w:rPr>
                              <w:t>)</w:t>
                            </w:r>
                          </w:p>
                          <w:p w:rsidR="008D09C9" w:rsidRDefault="008D09C9" w:rsidP="008D09C9">
                            <w:pPr>
                              <w:rPr>
                                <w:b/>
                                <w:i/>
                                <w:color w:val="FFFFFF" w:themeColor="background1"/>
                                <w:sz w:val="16"/>
                                <w:szCs w:val="16"/>
                              </w:rPr>
                            </w:pPr>
                            <w:r>
                              <w:rPr>
                                <w:b/>
                                <w:i/>
                                <w:color w:val="FFFFFF" w:themeColor="background1"/>
                                <w:sz w:val="16"/>
                                <w:szCs w:val="16"/>
                              </w:rPr>
                              <w:t>File</w:t>
                            </w:r>
                            <w:r>
                              <w:rPr>
                                <w:b/>
                                <w:i/>
                                <w:color w:val="FFFFFF" w:themeColor="background1"/>
                                <w:sz w:val="16"/>
                                <w:szCs w:val="16"/>
                              </w:rPr>
                              <w:tab/>
                              <w:t>: Note - Problématique liée au PNMNE</w:t>
                            </w:r>
                          </w:p>
                          <w:p w:rsidR="008D09C9" w:rsidRDefault="008D09C9" w:rsidP="008D09C9">
                            <w:pPr>
                              <w:rPr>
                                <w:b/>
                                <w:i/>
                                <w:color w:val="FFFFFF" w:themeColor="background1"/>
                                <w:sz w:val="16"/>
                                <w:szCs w:val="16"/>
                              </w:rPr>
                            </w:pPr>
                            <w:r>
                              <w:rPr>
                                <w:b/>
                                <w:i/>
                                <w:color w:val="FFFFFF" w:themeColor="background1"/>
                                <w:sz w:val="16"/>
                                <w:szCs w:val="16"/>
                              </w:rPr>
                              <w:t>Date</w:t>
                            </w:r>
                            <w:r>
                              <w:rPr>
                                <w:b/>
                                <w:i/>
                                <w:color w:val="FFFFFF" w:themeColor="background1"/>
                                <w:sz w:val="16"/>
                                <w:szCs w:val="16"/>
                              </w:rPr>
                              <w:tab/>
                              <w:t>: 110620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2.2pt;margin-top:652.25pt;width:236.5pt;height:5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" filled="f" stroked="f">
                <v:textbox>
                  <w:txbxContent>
                    <w:p w:rsidR="008D09C9" w:rsidRDefault="008D09C9" w:rsidP="008D09C9">
                      <w:pPr>
                        <w:rPr>
                          <w:b/>
                          <w:i/>
                          <w:color w:val="FFFFFF" w:themeColor="background1"/>
                          <w:sz w:val="16"/>
                          <w:szCs w:val="16"/>
                        </w:rPr>
                      </w:pPr>
                      <w:r>
                        <w:rPr>
                          <w:b/>
                          <w:i/>
                          <w:color w:val="FFFFFF" w:themeColor="background1"/>
                          <w:sz w:val="16"/>
                          <w:szCs w:val="16"/>
                        </w:rPr>
                        <w:t>Min</w:t>
                      </w:r>
                      <w:r>
                        <w:rPr>
                          <w:b/>
                          <w:i/>
                          <w:color w:val="FFFFFF" w:themeColor="background1"/>
                          <w:sz w:val="16"/>
                          <w:szCs w:val="16"/>
                        </w:rPr>
                        <w:tab/>
                        <w:t xml:space="preserve">: </w:t>
                      </w:r>
                      <w:proofErr w:type="spellStart"/>
                      <w:r>
                        <w:rPr>
                          <w:b/>
                          <w:i/>
                          <w:color w:val="FFFFFF" w:themeColor="background1"/>
                          <w:sz w:val="16"/>
                          <w:szCs w:val="16"/>
                        </w:rPr>
                        <w:t>Dircaba</w:t>
                      </w:r>
                      <w:proofErr w:type="spellEnd"/>
                    </w:p>
                    <w:p w:rsidR="008D09C9" w:rsidRDefault="008D09C9" w:rsidP="008D09C9">
                      <w:pPr>
                        <w:rPr>
                          <w:b/>
                          <w:i/>
                          <w:color w:val="FFFFFF" w:themeColor="background1"/>
                          <w:sz w:val="16"/>
                          <w:szCs w:val="16"/>
                        </w:rPr>
                      </w:pPr>
                      <w:proofErr w:type="spellStart"/>
                      <w:r>
                        <w:rPr>
                          <w:b/>
                          <w:i/>
                          <w:color w:val="FFFFFF" w:themeColor="background1"/>
                          <w:sz w:val="16"/>
                          <w:szCs w:val="16"/>
                        </w:rPr>
                        <w:t>Trt</w:t>
                      </w:r>
                      <w:proofErr w:type="spellEnd"/>
                      <w:r>
                        <w:rPr>
                          <w:b/>
                          <w:i/>
                          <w:color w:val="FFFFFF" w:themeColor="background1"/>
                          <w:sz w:val="16"/>
                          <w:szCs w:val="16"/>
                        </w:rPr>
                        <w:tab/>
                        <w:t xml:space="preserve">: Marcel </w:t>
                      </w:r>
                      <w:proofErr w:type="spellStart"/>
                      <w:r>
                        <w:rPr>
                          <w:b/>
                          <w:i/>
                          <w:color w:val="FFFFFF" w:themeColor="background1"/>
                          <w:sz w:val="16"/>
                          <w:szCs w:val="16"/>
                        </w:rPr>
                        <w:t>Katshayi</w:t>
                      </w:r>
                      <w:proofErr w:type="spellEnd"/>
                      <w:r>
                        <w:rPr>
                          <w:b/>
                          <w:i/>
                          <w:color w:val="FFFFFF" w:themeColor="background1"/>
                          <w:sz w:val="16"/>
                          <w:szCs w:val="16"/>
                        </w:rPr>
                        <w:t xml:space="preserve"> (Voir PC </w:t>
                      </w:r>
                      <w:proofErr w:type="spellStart"/>
                      <w:r>
                        <w:rPr>
                          <w:b/>
                          <w:i/>
                          <w:color w:val="FFFFFF" w:themeColor="background1"/>
                          <w:sz w:val="16"/>
                          <w:szCs w:val="16"/>
                        </w:rPr>
                        <w:t>Manoll</w:t>
                      </w:r>
                      <w:proofErr w:type="spellEnd"/>
                      <w:r>
                        <w:rPr>
                          <w:b/>
                          <w:i/>
                          <w:color w:val="FFFFFF" w:themeColor="background1"/>
                          <w:sz w:val="16"/>
                          <w:szCs w:val="16"/>
                        </w:rPr>
                        <w:t>)</w:t>
                      </w:r>
                    </w:p>
                    <w:p w:rsidR="008D09C9" w:rsidRDefault="008D09C9" w:rsidP="008D09C9">
                      <w:pPr>
                        <w:rPr>
                          <w:b/>
                          <w:i/>
                          <w:color w:val="FFFFFF" w:themeColor="background1"/>
                          <w:sz w:val="16"/>
                          <w:szCs w:val="16"/>
                        </w:rPr>
                      </w:pPr>
                      <w:r>
                        <w:rPr>
                          <w:b/>
                          <w:i/>
                          <w:color w:val="FFFFFF" w:themeColor="background1"/>
                          <w:sz w:val="16"/>
                          <w:szCs w:val="16"/>
                        </w:rPr>
                        <w:t>File</w:t>
                      </w:r>
                      <w:r>
                        <w:rPr>
                          <w:b/>
                          <w:i/>
                          <w:color w:val="FFFFFF" w:themeColor="background1"/>
                          <w:sz w:val="16"/>
                          <w:szCs w:val="16"/>
                        </w:rPr>
                        <w:tab/>
                        <w:t>: Note - Problématique liée au PNMNE</w:t>
                      </w:r>
                    </w:p>
                    <w:p w:rsidR="008D09C9" w:rsidRDefault="008D09C9" w:rsidP="008D09C9">
                      <w:pPr>
                        <w:rPr>
                          <w:b/>
                          <w:i/>
                          <w:color w:val="FFFFFF" w:themeColor="background1"/>
                          <w:sz w:val="16"/>
                          <w:szCs w:val="16"/>
                        </w:rPr>
                      </w:pPr>
                      <w:r>
                        <w:rPr>
                          <w:b/>
                          <w:i/>
                          <w:color w:val="FFFFFF" w:themeColor="background1"/>
                          <w:sz w:val="16"/>
                          <w:szCs w:val="16"/>
                        </w:rPr>
                        <w:t>Date</w:t>
                      </w:r>
                      <w:r>
                        <w:rPr>
                          <w:b/>
                          <w:i/>
                          <w:color w:val="FFFFFF" w:themeColor="background1"/>
                          <w:sz w:val="16"/>
                          <w:szCs w:val="16"/>
                        </w:rPr>
                        <w:tab/>
                        <w:t>: 110620</w:t>
                      </w:r>
                    </w:p>
                  </w:txbxContent>
                </v:textbox>
              </v:shape>
            </w:pict>
          </mc:Fallback>
        </mc:AlternateContent>
      </w:r>
    </w:p>
    <w:p w:rsidR="008D09C9" w:rsidRDefault="008D09C9" w:rsidP="008D09C9">
      <w:pPr>
        <w:spacing w:after="0"/>
        <w:jc w:val="both"/>
        <w:rPr>
          <w:rFonts w:ascii="Arial Narrow" w:hAnsi="Arial Narrow"/>
          <w:b/>
          <w:sz w:val="26"/>
          <w:szCs w:val="26"/>
        </w:rPr>
      </w:pPr>
    </w:p>
    <w:p w:rsidR="008D09C9" w:rsidRDefault="008D09C9" w:rsidP="008D09C9">
      <w:pPr>
        <w:spacing w:after="0" w:line="240" w:lineRule="auto"/>
        <w:jc w:val="both"/>
        <w:rPr>
          <w:rFonts w:ascii="Arial Narrow" w:hAnsi="Arial Narrow"/>
          <w:b/>
          <w:sz w:val="26"/>
          <w:szCs w:val="26"/>
        </w:rPr>
      </w:pPr>
    </w:p>
    <w:p w:rsidR="008D09C9" w:rsidRDefault="008D09C9" w:rsidP="008D09C9">
      <w:pPr>
        <w:tabs>
          <w:tab w:val="left" w:pos="1860"/>
        </w:tabs>
        <w:spacing w:after="0" w:line="240" w:lineRule="auto"/>
        <w:contextualSpacing/>
        <w:jc w:val="both"/>
        <w:rPr>
          <w:rFonts w:ascii="Arial Narrow" w:hAnsi="Arial Narrow"/>
          <w:sz w:val="26"/>
          <w:szCs w:val="26"/>
        </w:rPr>
      </w:pPr>
      <w:r>
        <w:rPr>
          <w:rFonts w:ascii="Arial Narrow" w:hAnsi="Arial Narrow"/>
          <w:sz w:val="26"/>
          <w:szCs w:val="26"/>
        </w:rPr>
        <w:tab/>
      </w:r>
    </w:p>
    <w:p w:rsidR="001A7DB5" w:rsidRDefault="001A7DB5"/>
    <w:sectPr w:rsidR="001A7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C9"/>
    <w:rsid w:val="000B6031"/>
    <w:rsid w:val="001A7DB5"/>
    <w:rsid w:val="008D09C9"/>
    <w:rsid w:val="00FC7C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27A6E-8CDE-4EDB-AFD6-B186770E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9C9"/>
    <w:pPr>
      <w:spacing w:after="200" w:line="276" w:lineRule="auto"/>
    </w:pPr>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6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1015</Words>
  <Characters>5585</Characters>
  <Application>Microsoft Office Word</Application>
  <DocSecurity>0</DocSecurity>
  <Lines>46</Lines>
  <Paragraphs>13</Paragraphs>
  <ScaleCrop>false</ScaleCrop>
  <Company>Microsoft</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2020-07-01T08:51:00Z</dcterms:created>
  <dcterms:modified xsi:type="dcterms:W3CDTF">2020-07-01T13:57:00Z</dcterms:modified>
</cp:coreProperties>
</file>