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617EC" w14:textId="5992D8AE" w:rsidR="00F931DE" w:rsidRPr="00177735" w:rsidRDefault="00007809" w:rsidP="00177735">
      <w:pPr>
        <w:keepNext/>
        <w:keepLines/>
        <w:spacing w:after="0" w:line="276" w:lineRule="auto"/>
        <w:jc w:val="center"/>
        <w:outlineLvl w:val="0"/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</w:pPr>
      <w:r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>S</w:t>
      </w:r>
      <w:r w:rsidR="00F931DE" w:rsidRPr="00177735"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>TANOWISKO CCIFP WS. KRYZYSU ENERGETYCZNEGO</w:t>
      </w:r>
    </w:p>
    <w:p w14:paraId="42FAB074" w14:textId="77777777" w:rsid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490283DC" w14:textId="4AD0AFF2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Jako Francusko-Polska Izba Gospodarcza zrzeszamy prawie 400 podmiotów, które czynnie współtworzą rzeczywistość społeczno-gospodarczą Polski.</w:t>
      </w:r>
    </w:p>
    <w:p w14:paraId="0089646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 </w:t>
      </w:r>
    </w:p>
    <w:p w14:paraId="31DE1A0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Nasi członkowie, wśród których są duże zakłady przemysłowe i wytwórcze niosą na sobie jako pracodawcy ciężar odpowiedzialności za tysiące miejsc pracy w całym kraju, w tym regionach słabiej rozwiniętych. Są też odpowiedzialni za produkcję dóbr i usług kluczowych dla sprawnego funkcjonowania lokalnych gospodarek oraz prowadzenia inwestycji publicznych. </w:t>
      </w:r>
    </w:p>
    <w:p w14:paraId="3098C75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70237F2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Wielu spośród przedsiębiorców stowarzyszonych w CCIFP rozpoczęło z władzami samorządowymi dialog mający na celu nie tylko podniesienie trudności, z jakimi się borykają i które może spotęgować kryzys związany z brakiem lub ograniczeniem dostępności paliw i cenami energii, ale przede wszystkim mający na celu nawiązanie współpracy na rzecz wypracowania wspólnych rozwiązań, które osłonią gospodarki regionów i rzesze pracowników w przypadku realizacji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ryzyk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>.</w:t>
      </w:r>
    </w:p>
    <w:p w14:paraId="1CD1BBA5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35187B4A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Istotne będzie też nawiązanie takiego dialogu z przedstawicielami administracji centralnej, która dysponuje narzędziami do koordynacji działań i szerszym wachlarzem możliwości ich realizacji. </w:t>
      </w:r>
    </w:p>
    <w:p w14:paraId="073E914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065786D8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Członkowie CCIFP są obecni na polskim rynku od dekad i znają specyficzną sytuację naszego kraju, głęboko rozumiejąc jego uwarunkowania. Jednocześnie, jako przedsiębiorstwa międzynarodowe, dysponują wiedzą i know-how o dostępnych i wdrażanych gdzie indziej rozwiązaniach, do których można się bezpiecznie odwołać i na których można się oprzeć. </w:t>
      </w:r>
    </w:p>
    <w:p w14:paraId="66DCB53A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3C216B1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W okresie przejściowym, który ma zaprowadzić Polskę do ostatecznego celu, którym jest uniezależnienie się od paliw kopalnych konieczne będzie zadbać o szerszy interes społeczny i stworzyć narzędzia komunikacji potrzebne do sprawnego zarządzania zmianą. </w:t>
      </w:r>
    </w:p>
    <w:p w14:paraId="6915C58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03473E5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To dlatego jako CCIFP postulujemy:</w:t>
      </w:r>
    </w:p>
    <w:p w14:paraId="5F2F138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C0C006D" w14:textId="77777777" w:rsidR="00F931DE" w:rsidRPr="00F931DE" w:rsidRDefault="00F931DE" w:rsidP="00F931DE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rebuchet MS" w:hAnsi="Trebuchet MS" w:cs="Calibri"/>
          <w:b/>
          <w:sz w:val="20"/>
          <w:szCs w:val="20"/>
        </w:rPr>
      </w:pPr>
      <w:r w:rsidRPr="00F931DE">
        <w:rPr>
          <w:rFonts w:ascii="Trebuchet MS" w:hAnsi="Trebuchet MS" w:cs="Calibri"/>
          <w:b/>
          <w:sz w:val="20"/>
          <w:szCs w:val="20"/>
        </w:rPr>
        <w:t>DIALOG</w:t>
      </w:r>
    </w:p>
    <w:p w14:paraId="637927C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39F87A8D" w14:textId="77777777" w:rsidR="00F931DE" w:rsidRPr="00F931DE" w:rsidRDefault="00F931DE" w:rsidP="00F931DE">
      <w:pPr>
        <w:spacing w:after="0" w:line="276" w:lineRule="auto"/>
        <w:ind w:left="284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Utworzenie kanału komunikacji pomiędzy administracją rządową i przedsiębiorcami w celu prowadzenia bieżących ustaleń na temat możliwości dostosowania wysokości produkcji do sytuacji;</w:t>
      </w:r>
    </w:p>
    <w:p w14:paraId="0C824AF8" w14:textId="77777777" w:rsidR="00F931DE" w:rsidRPr="00F931DE" w:rsidRDefault="00F931DE" w:rsidP="00F931DE">
      <w:pPr>
        <w:spacing w:after="0" w:line="276" w:lineRule="auto"/>
        <w:ind w:left="708" w:hanging="708"/>
        <w:jc w:val="both"/>
        <w:rPr>
          <w:rFonts w:ascii="Trebuchet MS" w:hAnsi="Trebuchet MS" w:cs="Times New Roman"/>
          <w:sz w:val="20"/>
          <w:szCs w:val="20"/>
        </w:rPr>
      </w:pPr>
    </w:p>
    <w:p w14:paraId="7D82B41A" w14:textId="77777777" w:rsidR="00F931DE" w:rsidRPr="00F931DE" w:rsidRDefault="00F931DE" w:rsidP="00F931DE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rebuchet MS" w:hAnsi="Trebuchet MS" w:cs="Calibri"/>
          <w:b/>
          <w:sz w:val="20"/>
          <w:szCs w:val="20"/>
        </w:rPr>
      </w:pPr>
      <w:r w:rsidRPr="00F931DE">
        <w:rPr>
          <w:rFonts w:ascii="Trebuchet MS" w:hAnsi="Trebuchet MS" w:cs="Calibri"/>
          <w:b/>
          <w:sz w:val="20"/>
          <w:szCs w:val="20"/>
        </w:rPr>
        <w:t>WSPARCIE PRZEDSIĘBIORSTW W OKRESIE ZMIAN, UŁATWIAJĄCE ELASTYCZNOŚĆ PRODUKCJI</w:t>
      </w:r>
    </w:p>
    <w:p w14:paraId="1A444980" w14:textId="77777777" w:rsidR="00F931DE" w:rsidRPr="00F931DE" w:rsidRDefault="00F931DE" w:rsidP="00F931DE">
      <w:pPr>
        <w:spacing w:after="0" w:line="276" w:lineRule="auto"/>
        <w:ind w:left="1068"/>
        <w:jc w:val="both"/>
        <w:rPr>
          <w:rFonts w:ascii="Trebuchet MS" w:hAnsi="Trebuchet MS" w:cs="Calibri"/>
          <w:sz w:val="20"/>
          <w:szCs w:val="20"/>
        </w:rPr>
      </w:pPr>
    </w:p>
    <w:p w14:paraId="48C4774F" w14:textId="77777777" w:rsidR="00F931DE" w:rsidRPr="00F931DE" w:rsidRDefault="00F931DE" w:rsidP="00F931DE">
      <w:pPr>
        <w:numPr>
          <w:ilvl w:val="1"/>
          <w:numId w:val="11"/>
        </w:numPr>
        <w:spacing w:after="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F931DE">
        <w:rPr>
          <w:rFonts w:ascii="Trebuchet MS" w:hAnsi="Trebuchet MS" w:cs="Calibri"/>
          <w:sz w:val="20"/>
          <w:szCs w:val="20"/>
        </w:rPr>
        <w:t>Współpracę z dużymi wytwórcami dóbr i usług w celu opracowania systemu osłon potrzebnych, by złagodzić wpływ wzrostu cen energii i nowych wymagań związanych z koniecznością dekarbonizacji, w tym inwestycji we własne źródła energii, by łagodzić ryzyko;</w:t>
      </w:r>
    </w:p>
    <w:p w14:paraId="3421FA4D" w14:textId="77777777" w:rsidR="00F931DE" w:rsidRPr="00F931DE" w:rsidRDefault="00F931DE" w:rsidP="00F931DE">
      <w:pPr>
        <w:spacing w:after="0" w:line="276" w:lineRule="auto"/>
        <w:ind w:left="1440"/>
        <w:jc w:val="both"/>
        <w:rPr>
          <w:rFonts w:ascii="Trebuchet MS" w:hAnsi="Trebuchet MS" w:cs="Calibri"/>
          <w:sz w:val="20"/>
          <w:szCs w:val="20"/>
        </w:rPr>
      </w:pPr>
    </w:p>
    <w:p w14:paraId="168C2555" w14:textId="77777777" w:rsidR="00F931DE" w:rsidRPr="00F931DE" w:rsidRDefault="00F931DE" w:rsidP="00F931DE">
      <w:pPr>
        <w:spacing w:after="0" w:line="276" w:lineRule="auto"/>
        <w:ind w:left="1416" w:hanging="336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b.</w:t>
      </w:r>
      <w:r w:rsidRPr="00F931DE">
        <w:rPr>
          <w:rFonts w:ascii="Trebuchet MS" w:hAnsi="Trebuchet MS" w:cs="Times New Roman"/>
          <w:sz w:val="20"/>
          <w:szCs w:val="20"/>
        </w:rPr>
        <w:tab/>
        <w:t xml:space="preserve">Dialog z przedstawicielami przemysłu w celu doprecyzowania, jak administracja publiczna planuje zarządzać sytuacją w przypadku niedoborów energii na rynku. </w:t>
      </w:r>
      <w:r w:rsidRPr="00F931DE">
        <w:rPr>
          <w:rFonts w:ascii="Trebuchet MS" w:hAnsi="Trebuchet MS" w:cs="Times New Roman"/>
          <w:sz w:val="20"/>
          <w:szCs w:val="20"/>
        </w:rPr>
        <w:lastRenderedPageBreak/>
        <w:t>Dialog i jasność w tym zakresie są konieczne, aby dać przedsiębiorstwom produkcyjnym możliwość zarządzania ryzykiem biznesowym. Przedstawicielom przemysłu potrzebna jest informacja, czy w przypadku wystąpienia niedoborów ministerstwo planuje posłużyć się wyłącznie mechanizmem DSR, czy też rozważa zastosowanie innych środków;</w:t>
      </w:r>
    </w:p>
    <w:p w14:paraId="1980DAB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7F525D3D" w14:textId="77777777" w:rsidR="00F931DE" w:rsidRPr="00F931DE" w:rsidRDefault="00F931DE" w:rsidP="00F931DE">
      <w:pPr>
        <w:spacing w:after="0" w:line="276" w:lineRule="auto"/>
        <w:ind w:left="1416" w:hanging="336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c.</w:t>
      </w:r>
      <w:r w:rsidRPr="00F931DE">
        <w:rPr>
          <w:rFonts w:ascii="Trebuchet MS" w:hAnsi="Trebuchet MS" w:cs="Times New Roman"/>
          <w:sz w:val="20"/>
          <w:szCs w:val="20"/>
        </w:rPr>
        <w:tab/>
        <w:t>Współpracę międzyresortową z udziałem przedsiębiorców przy opracowaniu przepisów na wzór prawodawstwa około-pandemicznego, które pozwolą minimalizować koszty społeczne i ludzkie realizacji ryzyka energetycznego;</w:t>
      </w:r>
    </w:p>
    <w:p w14:paraId="15CFDC0F" w14:textId="77777777" w:rsidR="00F931DE" w:rsidRPr="00F931DE" w:rsidRDefault="00F931DE" w:rsidP="00F931DE">
      <w:pPr>
        <w:spacing w:after="0" w:line="276" w:lineRule="auto"/>
        <w:ind w:left="708" w:hanging="708"/>
        <w:jc w:val="both"/>
        <w:rPr>
          <w:rFonts w:ascii="Trebuchet MS" w:hAnsi="Trebuchet MS" w:cs="Times New Roman"/>
          <w:sz w:val="20"/>
          <w:szCs w:val="20"/>
        </w:rPr>
      </w:pPr>
    </w:p>
    <w:p w14:paraId="6239D854" w14:textId="77777777" w:rsidR="00F931DE" w:rsidRPr="00F931DE" w:rsidRDefault="00F931DE" w:rsidP="00F931DE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Trebuchet MS" w:hAnsi="Trebuchet MS" w:cs="Calibri"/>
          <w:b/>
          <w:sz w:val="20"/>
          <w:szCs w:val="20"/>
        </w:rPr>
      </w:pPr>
      <w:r w:rsidRPr="00F931DE">
        <w:rPr>
          <w:rFonts w:ascii="Trebuchet MS" w:hAnsi="Trebuchet MS" w:cs="Calibri"/>
          <w:b/>
          <w:sz w:val="20"/>
          <w:szCs w:val="20"/>
        </w:rPr>
        <w:t>PRZYSPIESZENIE INWESTYCJI</w:t>
      </w:r>
    </w:p>
    <w:p w14:paraId="602D0726" w14:textId="77777777" w:rsidR="00F931DE" w:rsidRPr="00F931DE" w:rsidRDefault="00F931DE" w:rsidP="00F931DE">
      <w:pPr>
        <w:spacing w:after="0" w:line="276" w:lineRule="auto"/>
        <w:ind w:firstLine="360"/>
        <w:jc w:val="both"/>
        <w:rPr>
          <w:rFonts w:ascii="Trebuchet MS" w:hAnsi="Trebuchet MS" w:cs="Times New Roman"/>
          <w:sz w:val="20"/>
          <w:szCs w:val="20"/>
        </w:rPr>
      </w:pPr>
    </w:p>
    <w:p w14:paraId="3A782794" w14:textId="77777777" w:rsidR="00F931DE" w:rsidRPr="00F931DE" w:rsidRDefault="00F931DE" w:rsidP="00F931DE">
      <w:pPr>
        <w:spacing w:after="0" w:line="276" w:lineRule="auto"/>
        <w:ind w:left="284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Usprawnienie procedur związanych z realizacją inwestycji w technologie gwarantujące obniżenie emisji i łagodzących ryzyko paliwowe, w tym w sektorze energetycznym i dystrybucji energii, który wymaga rozbudowy i wsparcia by móc zaspokoić rosnący popyt;</w:t>
      </w:r>
    </w:p>
    <w:p w14:paraId="2E932C6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5F1AA0B7" w14:textId="77777777" w:rsidR="00F931DE" w:rsidRPr="00F931DE" w:rsidRDefault="00F931DE" w:rsidP="00F931DE">
      <w:pPr>
        <w:spacing w:after="0" w:line="276" w:lineRule="auto"/>
        <w:ind w:firstLine="360"/>
        <w:jc w:val="both"/>
        <w:rPr>
          <w:rFonts w:ascii="Trebuchet MS" w:hAnsi="Trebuchet MS" w:cs="Times New Roman"/>
          <w:sz w:val="20"/>
          <w:szCs w:val="20"/>
        </w:rPr>
      </w:pPr>
    </w:p>
    <w:p w14:paraId="1B9462A7" w14:textId="77777777" w:rsidR="00F931DE" w:rsidRPr="00F931DE" w:rsidRDefault="00F931DE" w:rsidP="00F931DE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Trebuchet MS" w:hAnsi="Trebuchet MS" w:cs="Calibri"/>
          <w:b/>
          <w:sz w:val="20"/>
          <w:szCs w:val="20"/>
        </w:rPr>
      </w:pPr>
      <w:r w:rsidRPr="00F931DE">
        <w:rPr>
          <w:rFonts w:ascii="Trebuchet MS" w:hAnsi="Trebuchet MS" w:cs="Calibri"/>
          <w:b/>
          <w:sz w:val="20"/>
          <w:szCs w:val="20"/>
        </w:rPr>
        <w:t>WSPARCIE KONSUMENTÓW INDYWIDUALNYCH I BUDOWA ŚWIADOMOŚCI SPOŁECZNEJ</w:t>
      </w:r>
    </w:p>
    <w:p w14:paraId="26994FCD" w14:textId="77777777" w:rsidR="00F931DE" w:rsidRPr="00F931DE" w:rsidRDefault="00F931DE" w:rsidP="00F931DE">
      <w:pPr>
        <w:spacing w:after="0" w:line="276" w:lineRule="auto"/>
        <w:ind w:left="708" w:hanging="708"/>
        <w:jc w:val="both"/>
        <w:rPr>
          <w:rFonts w:ascii="Trebuchet MS" w:hAnsi="Trebuchet MS" w:cs="Times New Roman"/>
          <w:sz w:val="20"/>
          <w:szCs w:val="20"/>
        </w:rPr>
      </w:pPr>
    </w:p>
    <w:p w14:paraId="6297289D" w14:textId="77777777" w:rsidR="00F931DE" w:rsidRPr="00F931DE" w:rsidRDefault="00F931DE" w:rsidP="00F931DE">
      <w:pPr>
        <w:spacing w:after="0" w:line="276" w:lineRule="auto"/>
        <w:ind w:left="284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Szeroką współpracę publiczno-prywatną przy prowadzeniu kampanii społecznych i edukacyjnych podnoszących wiedzę i świadomość co do konieczności oszczędzania energii i zasobów oraz wspierających zmianę nawyków konsumenckich;</w:t>
      </w:r>
    </w:p>
    <w:p w14:paraId="5BFDF144" w14:textId="77777777" w:rsidR="00F931DE" w:rsidRPr="00F931DE" w:rsidRDefault="00F931DE" w:rsidP="00F931DE">
      <w:pPr>
        <w:spacing w:after="0" w:line="276" w:lineRule="auto"/>
        <w:ind w:left="360" w:hanging="360"/>
        <w:rPr>
          <w:rFonts w:ascii="Trebuchet MS" w:hAnsi="Trebuchet MS" w:cs="Times New Roman"/>
          <w:sz w:val="20"/>
          <w:szCs w:val="20"/>
        </w:rPr>
      </w:pPr>
    </w:p>
    <w:p w14:paraId="381D9C90" w14:textId="77777777" w:rsidR="00F931DE" w:rsidRPr="00F931DE" w:rsidRDefault="00F931DE" w:rsidP="00F931DE">
      <w:pPr>
        <w:spacing w:after="0" w:line="276" w:lineRule="auto"/>
        <w:ind w:left="708" w:hanging="708"/>
        <w:jc w:val="both"/>
        <w:rPr>
          <w:rFonts w:ascii="Trebuchet MS" w:hAnsi="Trebuchet MS" w:cs="Times New Roman"/>
          <w:sz w:val="20"/>
          <w:szCs w:val="20"/>
        </w:rPr>
      </w:pPr>
    </w:p>
    <w:p w14:paraId="630C188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Nadchodzące zmiany są nie tylko nieuchronne - są też bardzo potrzebne. Istnieje cały wachlarz środków, które pomogą nam zabezpieczyć się przed realizacją czarnego scenariusza przed najbliższą zimą. </w:t>
      </w:r>
    </w:p>
    <w:p w14:paraId="6214DEA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55AFC6E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Kilka sprawdzonych rozwiązań, które mogą przynieść szybki i dobry efekt i których wdrożenie proponujemy w stanowisku poniżej.</w:t>
      </w:r>
    </w:p>
    <w:p w14:paraId="536E51E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4A48D76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Wierzymy, że te propozycje przyczynią się do oddalenia ryzyka realizacji czarnego scenariusza, jakimi są przerwy w dostawach energii i brak możliwości zaspokojenia zapotrzebowania przedsiębiorców i społeczeństwa na paliwa kopalne nadchodzącej zimy. </w:t>
      </w:r>
    </w:p>
    <w:p w14:paraId="677D0F2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5277F4D" w14:textId="77777777" w:rsid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718F77DB" w14:textId="77777777" w:rsidR="00007809" w:rsidRDefault="00007809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7F5F4EF" w14:textId="77777777" w:rsidR="00007809" w:rsidRDefault="00007809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1C24FB7" w14:textId="77777777" w:rsidR="00007809" w:rsidRPr="00F931DE" w:rsidRDefault="00007809" w:rsidP="00007809">
      <w:pPr>
        <w:tabs>
          <w:tab w:val="left" w:pos="2268"/>
        </w:tabs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74B5F67" w14:textId="77777777" w:rsid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015C04D" w14:textId="77777777" w:rsidR="00656CBF" w:rsidRPr="00F931DE" w:rsidRDefault="00656CBF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648B21C8" w14:textId="77777777" w:rsidR="00F931DE" w:rsidRPr="00F931DE" w:rsidRDefault="00F931DE" w:rsidP="00F931DE">
      <w:pPr>
        <w:spacing w:after="0" w:line="276" w:lineRule="auto"/>
        <w:jc w:val="right"/>
        <w:rPr>
          <w:rFonts w:ascii="Trebuchet MS" w:hAnsi="Trebuchet MS" w:cs="Times New Roman"/>
          <w:sz w:val="20"/>
          <w:szCs w:val="20"/>
        </w:rPr>
      </w:pPr>
    </w:p>
    <w:p w14:paraId="448DD080" w14:textId="7F52516C" w:rsidR="00F931DE" w:rsidRPr="00F931DE" w:rsidRDefault="00860EA7" w:rsidP="00F931DE">
      <w:pPr>
        <w:keepNext/>
        <w:keepLines/>
        <w:spacing w:after="0" w:line="276" w:lineRule="auto"/>
        <w:jc w:val="center"/>
        <w:outlineLvl w:val="0"/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</w:pPr>
      <w:r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lastRenderedPageBreak/>
        <w:t>Postulaty</w:t>
      </w:r>
      <w:bookmarkStart w:id="0" w:name="_GoBack"/>
      <w:bookmarkEnd w:id="0"/>
      <w:r w:rsidR="00F931DE" w:rsidRPr="00F931DE"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="00F931DE" w:rsidRPr="00F931DE"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>Think</w:t>
      </w:r>
      <w:proofErr w:type="spellEnd"/>
      <w:r w:rsidR="00F931DE" w:rsidRPr="00F931DE"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 xml:space="preserve"> Tanku ds. Klimatu CCIFP </w:t>
      </w:r>
    </w:p>
    <w:p w14:paraId="0F849472" w14:textId="77777777" w:rsidR="00F931DE" w:rsidRPr="00F931DE" w:rsidRDefault="00F931DE" w:rsidP="00F931DE">
      <w:pPr>
        <w:keepNext/>
        <w:keepLines/>
        <w:spacing w:after="0" w:line="276" w:lineRule="auto"/>
        <w:jc w:val="center"/>
        <w:outlineLvl w:val="0"/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</w:pPr>
      <w:r w:rsidRPr="00F931DE">
        <w:rPr>
          <w:rFonts w:ascii="Trebuchet MS" w:eastAsiaTheme="majorEastAsia" w:hAnsi="Trebuchet MS" w:cstheme="majorBidi"/>
          <w:b/>
          <w:color w:val="2E74B5" w:themeColor="accent1" w:themeShade="BF"/>
          <w:sz w:val="28"/>
          <w:szCs w:val="28"/>
        </w:rPr>
        <w:t>Środki zaradcze na sezon jesienno-zimowy 2022/2023</w:t>
      </w:r>
    </w:p>
    <w:p w14:paraId="6C3F9A00" w14:textId="77777777" w:rsidR="00F931DE" w:rsidRPr="00F931DE" w:rsidRDefault="00F931DE" w:rsidP="00F931DE">
      <w:pPr>
        <w:spacing w:after="0" w:line="276" w:lineRule="auto"/>
        <w:rPr>
          <w:rFonts w:ascii="Calibri" w:hAnsi="Calibri" w:cs="Times New Roman"/>
          <w:sz w:val="20"/>
          <w:szCs w:val="20"/>
        </w:rPr>
      </w:pPr>
    </w:p>
    <w:p w14:paraId="5F03E1DE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Nadchodzący sezon jesienno-zimowy 2022/2023 może okazać się wyjątkowo trudny. Sankcje nałożone na Rosję spowodowały, że spadła dostępność paliw a ich ceny gwałtownie wzrosły. Producenci energii elektrycznej i ciepła - a także przemysł - mają problemy z utrzymaniem wymaganego wolumenu zapasów surowca oraz spełnieniem norm dotyczących jakości paliw. Nasiliły się obawy przemysłu o możliwość wystąpienia zakłóceń ciągłości produkcji. Mając to na uwadze, opracowaliśmy listę doraźnych rozwiązań, których przyjęcie pomoże złagodzić skutki kryzysu dla polskiej gospodarki i społeczeństwa.</w:t>
      </w:r>
    </w:p>
    <w:p w14:paraId="32FCE2D5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A96CF69" w14:textId="600976A6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Nasze </w:t>
      </w:r>
      <w:r w:rsidR="009077EE">
        <w:rPr>
          <w:rFonts w:ascii="Trebuchet MS" w:hAnsi="Trebuchet MS" w:cs="Times New Roman"/>
          <w:sz w:val="20"/>
          <w:szCs w:val="20"/>
        </w:rPr>
        <w:t>postulaty</w:t>
      </w:r>
      <w:r w:rsidRPr="00F931DE">
        <w:rPr>
          <w:rFonts w:ascii="Trebuchet MS" w:hAnsi="Trebuchet MS" w:cs="Times New Roman"/>
          <w:sz w:val="20"/>
          <w:szCs w:val="20"/>
        </w:rPr>
        <w:t xml:space="preserve"> dla administracji publicznej, odpowiedzialnej za bezpieczeństwo energetyczne Polski, obejmują:</w:t>
      </w:r>
    </w:p>
    <w:p w14:paraId="769FB44D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67D4E0E9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  <w:lang w:val="fr-FR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  <w:lang w:val="fr-FR"/>
        </w:rPr>
        <w:t>SEKTOR CIEPŁOWNICZY</w:t>
      </w:r>
    </w:p>
    <w:p w14:paraId="6CC53D0F" w14:textId="77777777" w:rsidR="00F931DE" w:rsidRPr="00F931DE" w:rsidRDefault="00F931DE" w:rsidP="00F931DE">
      <w:pPr>
        <w:spacing w:after="0" w:line="276" w:lineRule="auto"/>
        <w:rPr>
          <w:rFonts w:ascii="Trebuchet MS" w:hAnsi="Trebuchet MS" w:cs="Times New Roman"/>
          <w:sz w:val="20"/>
          <w:szCs w:val="20"/>
          <w:lang w:val="fr-FR"/>
        </w:rPr>
      </w:pPr>
    </w:p>
    <w:p w14:paraId="65C4504C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Polski sektor ciepłowniczy zużywa około 25 mln ton węgla rocznie, z czego 50% spalane jest w elektrociepłowniach a 50% w indywidualnych kotłach grzewczych. Sieci ciepłownicze dostarczają ciepło do ponad 16 mln osób w Polsce – to liczba najwyższa pośród wszystkich państw członkowskich UE. Około 65% ciepła w sieciach wytwarzają wysokosprawne jednostki kogeneracyjne a 35% - kotłownie. Polskie kopalnie wydobywają rocznie około 55 mln ton węgla. Ograniczenia w sprzedaży węgla kamiennego z polskich kopalń lokalnym producentom ciepła przekładają się na konieczność maksymalnego oszczędzania paliwa.</w:t>
      </w:r>
    </w:p>
    <w:p w14:paraId="37496A85" w14:textId="77777777" w:rsidR="00F931DE" w:rsidRPr="00F931DE" w:rsidRDefault="00F931DE" w:rsidP="00F931DE">
      <w:pPr>
        <w:keepNext/>
        <w:numPr>
          <w:ilvl w:val="1"/>
          <w:numId w:val="13"/>
        </w:numPr>
        <w:spacing w:before="240" w:after="60" w:line="276" w:lineRule="auto"/>
        <w:ind w:left="851"/>
        <w:outlineLvl w:val="2"/>
        <w:rPr>
          <w:rFonts w:ascii="Trebuchet MS" w:eastAsia="Times New Roman" w:hAnsi="Trebuchet MS" w:cs="Times New Roman"/>
          <w:bCs/>
          <w:color w:val="5B9BD5" w:themeColor="accent1"/>
          <w:sz w:val="20"/>
          <w:szCs w:val="20"/>
          <w:lang w:eastAsia="pl-PL"/>
        </w:rPr>
      </w:pPr>
      <w:r w:rsidRPr="00F931DE">
        <w:rPr>
          <w:rFonts w:ascii="Trebuchet MS" w:eastAsia="Times New Roman" w:hAnsi="Trebuchet MS" w:cs="Times New Roman"/>
          <w:b/>
          <w:bCs/>
          <w:color w:val="5B9BD5" w:themeColor="accent1"/>
          <w:sz w:val="20"/>
          <w:szCs w:val="20"/>
          <w:lang w:eastAsia="pl-PL"/>
        </w:rPr>
        <w:t xml:space="preserve">Obniżanie temperatury przez dostawców ciepła </w:t>
      </w:r>
    </w:p>
    <w:p w14:paraId="16885446" w14:textId="77777777" w:rsidR="00F931DE" w:rsidRPr="00F931DE" w:rsidRDefault="00F931DE" w:rsidP="00F931DE">
      <w:pPr>
        <w:spacing w:after="0" w:line="276" w:lineRule="auto"/>
        <w:rPr>
          <w:rFonts w:ascii="Trebuchet MS" w:hAnsi="Trebuchet MS" w:cs="Times New Roman"/>
          <w:sz w:val="20"/>
          <w:szCs w:val="20"/>
        </w:rPr>
      </w:pPr>
    </w:p>
    <w:p w14:paraId="0715C0B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Biorąc pod uwagę dzisiejsze, dość łagodne zimy, obniżenie temperatury ciepłej wody w sieci wydaje się racjonalne i uzasadnione. Obniżenie temperatury o zaledwie 1°C może zmniejszyć zapotrzebowanie na paliwo o 10%, co pozwoli zaoszczędzić nawet 2 mln ton węgla kamiennego rocznie. </w:t>
      </w:r>
    </w:p>
    <w:p w14:paraId="6890258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Aby umożliwić takie oszczędności, konieczna jest zmiana norm obliczeniowych i parametrów regulacyjnych. Wiąże się to ze zmianą sposobu traktowania reklamacji, które powinny odnosić się do nowych, zmienionych norm. </w:t>
      </w:r>
    </w:p>
    <w:p w14:paraId="7CFC39C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Polska nie byłaby pierwszym krajem, który przyjąłby takie rozwiązanie. Jednym z pierwszych krajów, które podążyły tą drogą jest Francja, która w kwietniu br. przyjęła tzw.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Circulaire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 no 268.</w:t>
      </w:r>
    </w:p>
    <w:p w14:paraId="7340842A" w14:textId="77777777" w:rsidR="00F931DE" w:rsidRPr="00F931DE" w:rsidRDefault="00F931DE" w:rsidP="00F931DE">
      <w:pPr>
        <w:keepNext/>
        <w:numPr>
          <w:ilvl w:val="1"/>
          <w:numId w:val="13"/>
        </w:numPr>
        <w:spacing w:before="240" w:after="60" w:line="276" w:lineRule="auto"/>
        <w:ind w:left="851"/>
        <w:outlineLvl w:val="2"/>
        <w:rPr>
          <w:rFonts w:ascii="Trebuchet MS" w:eastAsiaTheme="majorEastAsia" w:hAnsi="Trebuchet MS" w:cstheme="majorBidi"/>
          <w:bCs/>
          <w:color w:val="5B9BD5" w:themeColor="accent1"/>
          <w:sz w:val="20"/>
          <w:szCs w:val="20"/>
          <w:lang w:eastAsia="pl-PL"/>
        </w:rPr>
      </w:pPr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>Odpady komunalne do celów grzewczych traktowane jak biomasa</w:t>
      </w:r>
    </w:p>
    <w:p w14:paraId="0D1B448F" w14:textId="77777777" w:rsidR="00F931DE" w:rsidRPr="00F931DE" w:rsidRDefault="00F931DE" w:rsidP="00F931DE">
      <w:pPr>
        <w:spacing w:after="0" w:line="276" w:lineRule="auto"/>
        <w:jc w:val="both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</w:p>
    <w:p w14:paraId="6A21DAD1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Problemy związane z dostępnością paliwa można złagodzić poprzez lokalne wykorzystanie paliw, w tym odpadów komunalnych.</w:t>
      </w:r>
    </w:p>
    <w:p w14:paraId="2FD47EF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Większość polskich miast ma kłopot z zagospodarowaniem odpadów komunalnych. Zasadne jest dążenie do przyspieszenia budowy spalarni odpadów m.in. poprzez uproszczenie procedur </w:t>
      </w:r>
      <w:r w:rsidRPr="00F931DE">
        <w:rPr>
          <w:rFonts w:ascii="Trebuchet MS" w:hAnsi="Trebuchet MS" w:cs="Times New Roman"/>
          <w:sz w:val="20"/>
          <w:szCs w:val="20"/>
        </w:rPr>
        <w:lastRenderedPageBreak/>
        <w:t>administracyjnych związanych z uzyskiwaniem pozwoleń, zwłaszcza dla małych jednostek wykorzystujących do 25 000 t/r odpadów.</w:t>
      </w:r>
    </w:p>
    <w:p w14:paraId="06176096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Szerokie, lokalne wykorzystanie odpadów komunalnych jako paliwa może przyczynić się do zaoszczędzenia nawet 1,5 mln ton węgla kamiennego rocznie. </w:t>
      </w:r>
    </w:p>
    <w:p w14:paraId="49E11D54" w14:textId="77777777" w:rsidR="00F931DE" w:rsidRPr="00F931DE" w:rsidRDefault="00F931DE" w:rsidP="00F931DE">
      <w:pPr>
        <w:keepNext/>
        <w:numPr>
          <w:ilvl w:val="1"/>
          <w:numId w:val="13"/>
        </w:numPr>
        <w:spacing w:before="240" w:after="60" w:line="276" w:lineRule="auto"/>
        <w:ind w:left="851"/>
        <w:outlineLvl w:val="2"/>
        <w:rPr>
          <w:rFonts w:ascii="Trebuchet MS" w:eastAsiaTheme="majorEastAsia" w:hAnsi="Trebuchet MS" w:cstheme="majorBidi"/>
          <w:bCs/>
          <w:color w:val="5B9BD5" w:themeColor="accent1"/>
          <w:sz w:val="20"/>
          <w:szCs w:val="20"/>
          <w:lang w:eastAsia="pl-PL"/>
        </w:rPr>
      </w:pPr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 xml:space="preserve">Wsparcie dla produkcji </w:t>
      </w:r>
      <w:proofErr w:type="spellStart"/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>biometanu</w:t>
      </w:r>
      <w:proofErr w:type="spellEnd"/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>, jego wprowadzania do sieci dystrybucyjnej i spalania</w:t>
      </w:r>
    </w:p>
    <w:p w14:paraId="5C2EFA41" w14:textId="77777777" w:rsidR="00F931DE" w:rsidRPr="00F931DE" w:rsidRDefault="00F931DE" w:rsidP="00F931DE">
      <w:pPr>
        <w:spacing w:after="0" w:line="276" w:lineRule="auto"/>
        <w:jc w:val="both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 xml:space="preserve"> </w:t>
      </w:r>
    </w:p>
    <w:p w14:paraId="1143682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Polska jako kraj, w którym rolnictwo stanowi istotną część gospodarki, ma duży potencjał do budowy instalacji produkujących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biometan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>.</w:t>
      </w:r>
    </w:p>
    <w:p w14:paraId="62007B02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Obecny mechanizm wsparcia dla wytwarzania energii z biogazu powinien objąć też produkcję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biometanu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 na potrzeby sieci gazowniczej. Potrzebne jest przyjęcie i wdrożenie parametrów technicznych pozwalających na wtłaczanie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biometanu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 do sieci dystrybucyjnej.</w:t>
      </w:r>
    </w:p>
    <w:p w14:paraId="477BF4D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Potencjał produkcji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biometanu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 w Polsce szacuje się na 8 mld m3. To stanowi oszałamiające 40% krajowego zapotrzebowania na gaz ziemny, które wynosi 20 mld m3. Spalanie tylko połowy z potencjalnych 8 mld m3 pozwoliłoby zaoszczędzić 7 mln ton węgla kamiennego rocznie.</w:t>
      </w:r>
    </w:p>
    <w:p w14:paraId="796B976A" w14:textId="77777777" w:rsidR="00F931DE" w:rsidRPr="00F931DE" w:rsidRDefault="00F931DE" w:rsidP="00F931DE">
      <w:pPr>
        <w:keepNext/>
        <w:numPr>
          <w:ilvl w:val="1"/>
          <w:numId w:val="13"/>
        </w:numPr>
        <w:spacing w:before="240" w:after="60" w:line="276" w:lineRule="auto"/>
        <w:ind w:left="709"/>
        <w:outlineLvl w:val="2"/>
        <w:rPr>
          <w:rFonts w:ascii="Trebuchet MS" w:eastAsiaTheme="majorEastAsia" w:hAnsi="Trebuchet MS" w:cstheme="majorBidi"/>
          <w:bCs/>
          <w:color w:val="5B9BD5" w:themeColor="accent1"/>
          <w:sz w:val="20"/>
          <w:szCs w:val="20"/>
          <w:lang w:eastAsia="pl-PL"/>
        </w:rPr>
      </w:pPr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 xml:space="preserve">Modyfikacja systemu taryfikacji ciepła </w:t>
      </w:r>
    </w:p>
    <w:p w14:paraId="2F9CC521" w14:textId="77777777" w:rsidR="00F931DE" w:rsidRPr="00F931DE" w:rsidRDefault="00F931DE" w:rsidP="00F931DE">
      <w:pPr>
        <w:spacing w:after="0" w:line="276" w:lineRule="auto"/>
        <w:jc w:val="both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</w:p>
    <w:p w14:paraId="2C43542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Wprowadzony ponad 10 lat temu system taryfowy dla wysokosprawnej kogeneracji nie przystaje do dzisiejszych realiów w postaci szybko rosnących cen emisji dwutlenku węgla, kosztów zakupu paliw i kosztów inwestycyjnych. </w:t>
      </w:r>
    </w:p>
    <w:p w14:paraId="2DFF91B1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Należy go zmodyfikować i podnieść taryfy, aby w pełni odzwierciedlały ceny paliw i CO2, wspierały przedsiębiorstwa efektywne energetycznie i nadążały za zmianami na rynku ciepła i energii.</w:t>
      </w:r>
    </w:p>
    <w:p w14:paraId="4084F803" w14:textId="77777777" w:rsidR="00F931DE" w:rsidRPr="00F931DE" w:rsidRDefault="00F931DE" w:rsidP="00F931DE">
      <w:pPr>
        <w:keepNext/>
        <w:numPr>
          <w:ilvl w:val="1"/>
          <w:numId w:val="13"/>
        </w:numPr>
        <w:spacing w:before="240" w:after="60" w:line="276" w:lineRule="auto"/>
        <w:ind w:left="709"/>
        <w:outlineLvl w:val="2"/>
        <w:rPr>
          <w:rFonts w:ascii="Trebuchet MS" w:eastAsiaTheme="majorEastAsia" w:hAnsi="Trebuchet MS" w:cstheme="majorBidi"/>
          <w:bCs/>
          <w:color w:val="5B9BD5" w:themeColor="accent1"/>
          <w:sz w:val="20"/>
          <w:szCs w:val="20"/>
          <w:lang w:eastAsia="pl-PL"/>
        </w:rPr>
      </w:pPr>
      <w:r w:rsidRPr="00F931DE">
        <w:rPr>
          <w:rFonts w:ascii="Trebuchet MS" w:eastAsiaTheme="majorEastAsia" w:hAnsi="Trebuchet MS" w:cstheme="majorBidi"/>
          <w:b/>
          <w:bCs/>
          <w:color w:val="5B9BD5" w:themeColor="accent1"/>
          <w:sz w:val="20"/>
          <w:szCs w:val="20"/>
          <w:lang w:eastAsia="pl-PL"/>
        </w:rPr>
        <w:t xml:space="preserve">Zawieszenie kar za nieutrzymanie wymaganego poziomu zapasów </w:t>
      </w:r>
    </w:p>
    <w:p w14:paraId="482B5438" w14:textId="77777777" w:rsidR="00F931DE" w:rsidRPr="00F931DE" w:rsidRDefault="00F931DE" w:rsidP="00F931DE">
      <w:pPr>
        <w:spacing w:after="0" w:line="276" w:lineRule="auto"/>
        <w:jc w:val="both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</w:p>
    <w:p w14:paraId="414ACCF9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Zawirowania na światowym rynku węgla przekładają się na trudności w utrzymaniu wymaganych prawem zapasów. Niezwykle istotne jest tymczasowe odstąpienie od karania wytwórców ciepła i energii elektrycznej za niespełnienie wymagań z powodu okoliczności od nich niezależnych.</w:t>
      </w:r>
    </w:p>
    <w:p w14:paraId="6DA6441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E904709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001DBCB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ind w:left="993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>EFEKTYWNOŚĆ ENERGETYCZNA, W SZCZEGÓLNOŚCI W SEKTORZE BUDOWLANYM</w:t>
      </w:r>
    </w:p>
    <w:p w14:paraId="0259C514" w14:textId="77777777" w:rsidR="00F931DE" w:rsidRPr="00F931DE" w:rsidRDefault="00F931DE" w:rsidP="00F931DE">
      <w:pPr>
        <w:spacing w:after="0" w:line="276" w:lineRule="auto"/>
        <w:ind w:left="2340"/>
        <w:jc w:val="both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</w:p>
    <w:p w14:paraId="48EA4AE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Podnoszenie efektywności energetycznej w sektorze budowlanym nie jest możliwe bez odpowiednich narzędzi - i ludzi - zapewniających przestrzeganie i wdrażanie norm dla nowych i starych budynków. Ich spełnienie powinno być ściśle kontrolowane a kary za uchybienia - nieuchronne. Należy rozszerzyć zakres dostępnych obecnie środków dyscyplinarnych i kontrolnych oraz zaostrzyć system gwarantujący przestrzeganie przyjętych norm.</w:t>
      </w:r>
    </w:p>
    <w:p w14:paraId="5F499548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Polska ma duży potencjał podnoszenia efektywności energetycznej: od termomodernizacji budynków, które odpowiadają za 40% krajowego zużycia energii począwszy, przez modernizację i wykorzystanie preizolowanych rur w sieciach ciepłowniczych, poprawę efektywności energetycznej procesów przemysłowych, aż po wdrożenie stosunkowo tanich, zaawansowanych i cyfrowych systemów zarządzania zasobami.</w:t>
      </w:r>
    </w:p>
    <w:p w14:paraId="24F0CF9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Efektywność energetyczna oznacza unikanie zużycia energii - jest więc jednym z najszybszych i najbardziej skutecznych rozwiązań optymalizujących jej zużycie.</w:t>
      </w:r>
    </w:p>
    <w:p w14:paraId="45578A1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4A58CEAC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ind w:left="993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>OBJĘCIE DUŻYCH PODMIOTÓW PRZEMYSŁOWYCH KATEGORIĄ "ODBIORCÓW CHRONIONYCH”</w:t>
      </w:r>
    </w:p>
    <w:p w14:paraId="4BFD792C" w14:textId="77777777" w:rsidR="00F931DE" w:rsidRPr="00F931DE" w:rsidRDefault="00F931DE" w:rsidP="00F931DE">
      <w:pPr>
        <w:spacing w:after="0" w:line="276" w:lineRule="auto"/>
        <w:rPr>
          <w:rFonts w:ascii="Calibri" w:hAnsi="Calibri" w:cs="Times New Roman"/>
          <w:sz w:val="20"/>
          <w:szCs w:val="20"/>
        </w:rPr>
      </w:pPr>
    </w:p>
    <w:p w14:paraId="561E5AE9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Objęcie dużych producentów i podmiotów przemysłowych kategorią "odbiorcy chronionego" w rozporządzeniu wykonawczym do ustawy o zapasach, ropy naftowej, produktów naftowych i gazu ziemnego oraz zasadach postępowania w sytuacjach zagrożenia bezpieczeństwa dostaw paliw zwiększy przewidywalność biznesu i pomoże zarządzać ryzykiem, łagodząc skutki potencjalnych niedoborów na rynku surowców energetycznych.</w:t>
      </w:r>
    </w:p>
    <w:p w14:paraId="659272E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3E4E4AED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ind w:left="993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>WSPARCIE DLA ROZWOJU OZE I ZMIAN RYNKOWYCH</w:t>
      </w:r>
    </w:p>
    <w:p w14:paraId="5C9D457B" w14:textId="77777777" w:rsidR="00F931DE" w:rsidRPr="00F931DE" w:rsidRDefault="00F931DE" w:rsidP="00F931DE">
      <w:pPr>
        <w:spacing w:after="0" w:line="276" w:lineRule="auto"/>
        <w:rPr>
          <w:rFonts w:ascii="Calibri" w:hAnsi="Calibri" w:cs="Times New Roman"/>
          <w:sz w:val="20"/>
          <w:szCs w:val="20"/>
        </w:rPr>
      </w:pPr>
    </w:p>
    <w:p w14:paraId="187F624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Rozwój energetyki wiatrowej na lądzie wymaga zmiany ustawy zwanej ustawą 10h. Zmiana umożliwi odblokowanie realizacji już przygotowanych projektów, co z kolei pozwoli szybko zyskać dodatkowe kilka GW mocy zainstalowanej w systemie.  </w:t>
      </w:r>
    </w:p>
    <w:p w14:paraId="69EA8C38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Zalecamy też odstąpienie od planów zmiany obecnych zapisów ustawy o zagospodarowaniu przestrzennym, które pozwalają na sprawny przebieg procesu lokalizacji farm fotowoltaicznych o mocy &gt;1MW. Proponowana zmiana może rozwój sektora PV w Polsce znacząco spowolnić. </w:t>
      </w:r>
    </w:p>
    <w:p w14:paraId="66122A4A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>Istotne jest też usprawnienie procesu wydawania warunków przyłączenia instalacji OZE do sieci. Dotyczy to zarówno małych, średnich, jak i dużych instalacji OZE.</w:t>
      </w:r>
    </w:p>
    <w:p w14:paraId="61ED52F0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Poprawę elastyczności rynku przyniesie zniesienie barier regulacyjnych utrudniających  stosowanie umów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cPPA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, które stwarzają możliwość bezpośredniej sprzedaży energii dużym odbiorcom. Ten proces można wesprzeć przyjęciem rozwiązań typu </w:t>
      </w:r>
      <w:proofErr w:type="spellStart"/>
      <w:r w:rsidRPr="00F931DE">
        <w:rPr>
          <w:rFonts w:ascii="Trebuchet MS" w:hAnsi="Trebuchet MS" w:cs="Times New Roman"/>
          <w:i/>
          <w:sz w:val="20"/>
          <w:szCs w:val="20"/>
        </w:rPr>
        <w:t>direct</w:t>
      </w:r>
      <w:proofErr w:type="spellEnd"/>
      <w:r w:rsidRPr="00F931DE">
        <w:rPr>
          <w:rFonts w:ascii="Trebuchet MS" w:hAnsi="Trebuchet MS" w:cs="Times New Roman"/>
          <w:i/>
          <w:sz w:val="20"/>
          <w:szCs w:val="20"/>
        </w:rPr>
        <w:t xml:space="preserve"> </w:t>
      </w:r>
      <w:proofErr w:type="spellStart"/>
      <w:r w:rsidRPr="00F931DE">
        <w:rPr>
          <w:rFonts w:ascii="Trebuchet MS" w:hAnsi="Trebuchet MS" w:cs="Times New Roman"/>
          <w:i/>
          <w:sz w:val="20"/>
          <w:szCs w:val="20"/>
        </w:rPr>
        <w:t>wire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 xml:space="preserve"> dlatego też niezbędnym jest przyjęcie rozwiązań liberalizujących przepisy w zakresie linii bezpośredniej.</w:t>
      </w:r>
    </w:p>
    <w:p w14:paraId="6893BD44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Tzw. </w:t>
      </w:r>
      <w:proofErr w:type="spellStart"/>
      <w:r w:rsidRPr="00F931DE">
        <w:rPr>
          <w:rFonts w:ascii="Trebuchet MS" w:hAnsi="Trebuchet MS" w:cs="Times New Roman"/>
          <w:i/>
          <w:sz w:val="20"/>
          <w:szCs w:val="20"/>
        </w:rPr>
        <w:t>cable</w:t>
      </w:r>
      <w:proofErr w:type="spellEnd"/>
      <w:r w:rsidRPr="00F931DE">
        <w:rPr>
          <w:rFonts w:ascii="Trebuchet MS" w:hAnsi="Trebuchet MS" w:cs="Times New Roman"/>
          <w:i/>
          <w:sz w:val="20"/>
          <w:szCs w:val="20"/>
        </w:rPr>
        <w:t xml:space="preserve"> </w:t>
      </w:r>
      <w:proofErr w:type="spellStart"/>
      <w:r w:rsidRPr="00F931DE">
        <w:rPr>
          <w:rFonts w:ascii="Trebuchet MS" w:hAnsi="Trebuchet MS" w:cs="Times New Roman"/>
          <w:i/>
          <w:sz w:val="20"/>
          <w:szCs w:val="20"/>
        </w:rPr>
        <w:t>pooling</w:t>
      </w:r>
      <w:proofErr w:type="spellEnd"/>
      <w:r w:rsidRPr="00F931DE">
        <w:rPr>
          <w:rFonts w:ascii="Trebuchet MS" w:hAnsi="Trebuchet MS" w:cs="Times New Roman"/>
          <w:i/>
          <w:sz w:val="20"/>
          <w:szCs w:val="20"/>
        </w:rPr>
        <w:t>,</w:t>
      </w:r>
      <w:r w:rsidRPr="00F931DE">
        <w:rPr>
          <w:rFonts w:ascii="Trebuchet MS" w:hAnsi="Trebuchet MS" w:cs="Times New Roman"/>
          <w:sz w:val="20"/>
          <w:szCs w:val="20"/>
        </w:rPr>
        <w:t xml:space="preserve"> umożliwiający przyłączenie do sieci w jednym miejscu kilku źródeł wytwórczych da możliwość zastąpienia wytwarzania z jednego źródła wytwarzaniem z innego w przypadku zmiany warunków zewnętrznych (np. kiedy zapada noc i instalacja PV przestaje pracować, ale zrywa się wiatr i jej brak kompensuje energia z farmy wiatrowej). Takie rozwiązanie pozwoli też podnieść stabilność sieci. </w:t>
      </w:r>
    </w:p>
    <w:p w14:paraId="06D0D21E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4197868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ind w:left="993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>PLAN WSPARCIA DLA MAGAZYNOWANIA ENERGII</w:t>
      </w:r>
    </w:p>
    <w:p w14:paraId="302CE767" w14:textId="77777777" w:rsidR="00F931DE" w:rsidRPr="00F931DE" w:rsidRDefault="00F931DE" w:rsidP="00F931DE">
      <w:pPr>
        <w:spacing w:after="0" w:line="276" w:lineRule="auto"/>
        <w:rPr>
          <w:rFonts w:ascii="Calibri" w:hAnsi="Calibri" w:cs="Times New Roman"/>
          <w:sz w:val="20"/>
          <w:szCs w:val="20"/>
        </w:rPr>
      </w:pPr>
    </w:p>
    <w:p w14:paraId="45B6280B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Magazynowanie energii będzie miało kluczowe znaczenie dla stabilności systemu i bezpieczeństwa energetycznego. Polski rząd powinien już teraz przygotowywać plan wsparcia rozwoju szeroko rozumianego rynku magazynowania energii elektrycznej (systemy wsparcia dla instalacji magazynowania). W dalszej perspektywie koniecznym będzie również przyjęcie analogicznych rozwiązań dla instalacji wytwarzania i magazynowania zielonego wodoru. </w:t>
      </w:r>
    </w:p>
    <w:p w14:paraId="782B0EBA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6E0E285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C5EBFFE" w14:textId="77777777" w:rsidR="00F931DE" w:rsidRPr="00F931DE" w:rsidRDefault="00F931DE" w:rsidP="00F931DE">
      <w:pPr>
        <w:keepNext/>
        <w:keepLines/>
        <w:numPr>
          <w:ilvl w:val="2"/>
          <w:numId w:val="11"/>
        </w:numPr>
        <w:spacing w:before="40" w:after="0" w:line="276" w:lineRule="auto"/>
        <w:ind w:left="993"/>
        <w:outlineLvl w:val="1"/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</w:pPr>
      <w:r w:rsidRPr="00F931DE">
        <w:rPr>
          <w:rFonts w:ascii="Trebuchet MS" w:eastAsiaTheme="majorEastAsia" w:hAnsi="Trebuchet MS" w:cstheme="majorBidi"/>
          <w:b/>
          <w:color w:val="5B9BD5" w:themeColor="accent1"/>
          <w:sz w:val="20"/>
          <w:szCs w:val="20"/>
        </w:rPr>
        <w:t xml:space="preserve">DOCENIENIE WYSIŁKÓW PRZEDSIĘBIORSTW NA RZECZ ZWIĘKSZANIA EFEKTYWNOŚCI ENERGETYCZNEJ I WDRAŻANIA ROZWIĄZAŃ Z ZAKRESU GOSPODARKI OBIEGU ZAMKNIĘTEGO </w:t>
      </w:r>
    </w:p>
    <w:p w14:paraId="79F8252C" w14:textId="77777777" w:rsidR="00F931DE" w:rsidRPr="00F931DE" w:rsidRDefault="00F931DE" w:rsidP="00F931DE">
      <w:pPr>
        <w:spacing w:after="0" w:line="276" w:lineRule="auto"/>
        <w:rPr>
          <w:rFonts w:ascii="Calibri" w:hAnsi="Calibri" w:cs="Times New Roman"/>
          <w:sz w:val="20"/>
          <w:szCs w:val="20"/>
        </w:rPr>
      </w:pPr>
    </w:p>
    <w:p w14:paraId="3FB7082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Podnoszenie efektywności energetycznej i dążenie do gospodarki obiegu zamkniętego to  samo sedno unijnej polityki na rzecz czystej i konkurencyjnej gospodarczo Europy. Wiele przedsiębiorstw stara się wcielać wskazane tam zasady w życie kosztem własnej konkurencyjności, także na rynku polskim. Ich działania należy docenić jako dobre praktyki i przykłady do naśladowania, a także prowadzić w ścisłej współpracy biznesu z administracją publiczną kampanie edukacyjno-informacyjne promujące nie tylko recykling, ale także np. powrót do logiki naprawiania sprzętu i zmiany wzorców konsumpcji. </w:t>
      </w:r>
    </w:p>
    <w:p w14:paraId="6BC009FE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Uwzględnienie kategorii efektywności energetycznej i wdrożenia zasad gospodarki obiegu zamkniętego (np. planów </w:t>
      </w:r>
      <w:proofErr w:type="spellStart"/>
      <w:r w:rsidRPr="00F931DE">
        <w:rPr>
          <w:rFonts w:ascii="Trebuchet MS" w:hAnsi="Trebuchet MS" w:cs="Times New Roman"/>
          <w:sz w:val="20"/>
          <w:szCs w:val="20"/>
        </w:rPr>
        <w:t>buy-back</w:t>
      </w:r>
      <w:proofErr w:type="spellEnd"/>
      <w:r w:rsidRPr="00F931DE">
        <w:rPr>
          <w:rFonts w:ascii="Trebuchet MS" w:hAnsi="Trebuchet MS" w:cs="Times New Roman"/>
          <w:sz w:val="20"/>
          <w:szCs w:val="20"/>
        </w:rPr>
        <w:t>, czy prowadzenia pogwarancyjnych serwisów naprawczych) w przetargach publicznych dałoby dobry przykład i impuls do zmian całym branżom przemysłu i dużym przedsiębiorstwom.</w:t>
      </w:r>
    </w:p>
    <w:p w14:paraId="414C48F7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697F097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  <w:r w:rsidRPr="00F931DE">
        <w:rPr>
          <w:rFonts w:ascii="Trebuchet MS" w:hAnsi="Trebuchet MS" w:cs="Times New Roman"/>
          <w:sz w:val="20"/>
          <w:szCs w:val="20"/>
        </w:rPr>
        <w:t xml:space="preserve">Dobrym środkiem w realizacji tego celu byłoby także wprowadzenie rozwiązań, które skutkowałyby wzrostem wartości praw majątkowych wynikających ze świadectw efektywności energetycznej. </w:t>
      </w:r>
    </w:p>
    <w:p w14:paraId="2DF5A7EC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4437E51F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2F5DAEAE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38030993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Calibri"/>
          <w:sz w:val="20"/>
          <w:szCs w:val="20"/>
        </w:rPr>
      </w:pPr>
    </w:p>
    <w:p w14:paraId="6793275D" w14:textId="77777777" w:rsidR="00F931DE" w:rsidRPr="00F931DE" w:rsidRDefault="00F931DE" w:rsidP="00F931DE">
      <w:pPr>
        <w:spacing w:after="0" w:line="276" w:lineRule="auto"/>
        <w:jc w:val="both"/>
        <w:rPr>
          <w:rFonts w:ascii="Trebuchet MS" w:hAnsi="Trebuchet MS" w:cs="Calibri"/>
          <w:sz w:val="20"/>
          <w:szCs w:val="20"/>
        </w:rPr>
      </w:pPr>
    </w:p>
    <w:p w14:paraId="135A0842" w14:textId="77777777" w:rsidR="00F931DE" w:rsidRPr="00F931DE" w:rsidRDefault="00F931DE" w:rsidP="00F931DE">
      <w:pPr>
        <w:spacing w:after="0" w:line="276" w:lineRule="auto"/>
        <w:ind w:left="4956" w:firstLine="708"/>
        <w:jc w:val="right"/>
        <w:rPr>
          <w:rFonts w:ascii="Trebuchet MS" w:hAnsi="Trebuchet MS" w:cs="Times New Roman"/>
          <w:sz w:val="20"/>
          <w:szCs w:val="20"/>
        </w:rPr>
      </w:pPr>
    </w:p>
    <w:p w14:paraId="1DB9495F" w14:textId="77777777" w:rsidR="00F931DE" w:rsidRPr="008C5706" w:rsidRDefault="00F931DE" w:rsidP="00464BA0">
      <w:pPr>
        <w:spacing w:line="36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sectPr w:rsidR="00F931DE" w:rsidRPr="008C5706" w:rsidSect="00731EAA">
      <w:headerReference w:type="default" r:id="rId7"/>
      <w:footerReference w:type="default" r:id="rId8"/>
      <w:pgSz w:w="11906" w:h="16838"/>
      <w:pgMar w:top="2269" w:right="1417" w:bottom="2268" w:left="1417" w:header="397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80F8C" w14:textId="77777777" w:rsidR="005B2A96" w:rsidRDefault="005B2A96" w:rsidP="00DF0072">
      <w:pPr>
        <w:spacing w:after="0" w:line="240" w:lineRule="auto"/>
      </w:pPr>
      <w:r>
        <w:separator/>
      </w:r>
    </w:p>
  </w:endnote>
  <w:endnote w:type="continuationSeparator" w:id="0">
    <w:p w14:paraId="1B1D6012" w14:textId="77777777" w:rsidR="005B2A96" w:rsidRDefault="005B2A96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AFE8" w14:textId="77777777" w:rsidR="00DF0072" w:rsidRDefault="00A81B56" w:rsidP="009D39CF">
    <w:pPr>
      <w:pStyle w:val="Stopka"/>
      <w:ind w:left="-993"/>
    </w:pPr>
    <w:r>
      <w:rPr>
        <w:noProof/>
        <w:lang w:eastAsia="pl-PL"/>
      </w:rPr>
      <w:drawing>
        <wp:inline distT="0" distB="0" distL="0" distR="0" wp14:anchorId="79696C98" wp14:editId="5C77F269">
          <wp:extent cx="7115175" cy="1602326"/>
          <wp:effectExtent l="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069" cy="160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4B99" w14:textId="77777777" w:rsidR="005B2A96" w:rsidRDefault="005B2A96" w:rsidP="00DF0072">
      <w:pPr>
        <w:spacing w:after="0" w:line="240" w:lineRule="auto"/>
      </w:pPr>
      <w:r>
        <w:separator/>
      </w:r>
    </w:p>
  </w:footnote>
  <w:footnote w:type="continuationSeparator" w:id="0">
    <w:p w14:paraId="341D4F26" w14:textId="77777777" w:rsidR="005B2A96" w:rsidRDefault="005B2A96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5E2D" w14:textId="522DD390" w:rsidR="00DF0072" w:rsidRDefault="00860EA7" w:rsidP="00DF0072">
    <w:pPr>
      <w:pStyle w:val="Nagwek"/>
      <w:ind w:left="-851"/>
    </w:pPr>
    <w:sdt>
      <w:sdtPr>
        <w:id w:val="1507408340"/>
        <w:docPartObj>
          <w:docPartGallery w:val="Page Numbers (Margins)"/>
          <w:docPartUnique/>
        </w:docPartObj>
      </w:sdtPr>
      <w:sdtEndPr/>
      <w:sdtContent>
        <w:r w:rsidR="0000780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326BD78" wp14:editId="7698416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F57C6" w14:textId="77777777" w:rsidR="00007809" w:rsidRDefault="0000780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60EA7" w:rsidRPr="00860EA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26BD78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03F57C6" w14:textId="77777777" w:rsidR="00007809" w:rsidRDefault="0000780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60EA7" w:rsidRPr="00860EA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F56C0">
      <w:rPr>
        <w:noProof/>
        <w:lang w:eastAsia="pl-PL"/>
      </w:rPr>
      <w:drawing>
        <wp:inline distT="0" distB="0" distL="0" distR="0" wp14:anchorId="3B668130" wp14:editId="6676DF82">
          <wp:extent cx="2020634" cy="918541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634" cy="918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B72"/>
    <w:multiLevelType w:val="hybridMultilevel"/>
    <w:tmpl w:val="5B787CB4"/>
    <w:lvl w:ilvl="0" w:tplc="C45A4B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D0B68"/>
    <w:multiLevelType w:val="hybridMultilevel"/>
    <w:tmpl w:val="A4444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2E62"/>
    <w:multiLevelType w:val="hybridMultilevel"/>
    <w:tmpl w:val="5B787CB4"/>
    <w:lvl w:ilvl="0" w:tplc="C45A4B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50A5A"/>
    <w:multiLevelType w:val="hybridMultilevel"/>
    <w:tmpl w:val="F2D2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05C10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1309"/>
    <w:multiLevelType w:val="hybridMultilevel"/>
    <w:tmpl w:val="BB94A584"/>
    <w:lvl w:ilvl="0" w:tplc="336C1DDA">
      <w:start w:val="1"/>
      <w:numFmt w:val="upperLetter"/>
      <w:lvlText w:val="%1."/>
      <w:lvlJc w:val="left"/>
      <w:pPr>
        <w:ind w:left="862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9679A0"/>
    <w:multiLevelType w:val="hybridMultilevel"/>
    <w:tmpl w:val="62DE6EE4"/>
    <w:lvl w:ilvl="0" w:tplc="7BB2DC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B04551"/>
    <w:multiLevelType w:val="hybridMultilevel"/>
    <w:tmpl w:val="555C26FA"/>
    <w:lvl w:ilvl="0" w:tplc="A3CE7F2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E556FC"/>
    <w:multiLevelType w:val="hybridMultilevel"/>
    <w:tmpl w:val="80AA8324"/>
    <w:lvl w:ilvl="0" w:tplc="7BB2DC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98D499B"/>
    <w:multiLevelType w:val="hybridMultilevel"/>
    <w:tmpl w:val="43989112"/>
    <w:lvl w:ilvl="0" w:tplc="21FC1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0831BF"/>
    <w:multiLevelType w:val="hybridMultilevel"/>
    <w:tmpl w:val="30766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4158A"/>
    <w:multiLevelType w:val="hybridMultilevel"/>
    <w:tmpl w:val="E6E213C4"/>
    <w:lvl w:ilvl="0" w:tplc="315A9FF4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A5523"/>
    <w:multiLevelType w:val="multilevel"/>
    <w:tmpl w:val="E5AA2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C191648"/>
    <w:multiLevelType w:val="hybridMultilevel"/>
    <w:tmpl w:val="3FE4586C"/>
    <w:lvl w:ilvl="0" w:tplc="98F80A2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07809"/>
    <w:rsid w:val="00021FB7"/>
    <w:rsid w:val="000F01F4"/>
    <w:rsid w:val="00177735"/>
    <w:rsid w:val="002E6D24"/>
    <w:rsid w:val="003052DA"/>
    <w:rsid w:val="00316FF1"/>
    <w:rsid w:val="00353422"/>
    <w:rsid w:val="003A0366"/>
    <w:rsid w:val="003B5325"/>
    <w:rsid w:val="004058AA"/>
    <w:rsid w:val="00464BA0"/>
    <w:rsid w:val="00473DA3"/>
    <w:rsid w:val="00475DA8"/>
    <w:rsid w:val="00512E68"/>
    <w:rsid w:val="00580AC4"/>
    <w:rsid w:val="005A1003"/>
    <w:rsid w:val="005B2A96"/>
    <w:rsid w:val="00656CBF"/>
    <w:rsid w:val="0066634A"/>
    <w:rsid w:val="006F56C0"/>
    <w:rsid w:val="00731EAA"/>
    <w:rsid w:val="00860EA7"/>
    <w:rsid w:val="00872EBC"/>
    <w:rsid w:val="008750F2"/>
    <w:rsid w:val="008C5706"/>
    <w:rsid w:val="009077EE"/>
    <w:rsid w:val="00945289"/>
    <w:rsid w:val="009704AB"/>
    <w:rsid w:val="009D39CF"/>
    <w:rsid w:val="00A81B56"/>
    <w:rsid w:val="00AD5435"/>
    <w:rsid w:val="00B56CBE"/>
    <w:rsid w:val="00B65CF5"/>
    <w:rsid w:val="00B754CB"/>
    <w:rsid w:val="00B84132"/>
    <w:rsid w:val="00C048B1"/>
    <w:rsid w:val="00C26E61"/>
    <w:rsid w:val="00C43EA9"/>
    <w:rsid w:val="00C71C96"/>
    <w:rsid w:val="00C74949"/>
    <w:rsid w:val="00C93C97"/>
    <w:rsid w:val="00D92231"/>
    <w:rsid w:val="00DF0072"/>
    <w:rsid w:val="00E27004"/>
    <w:rsid w:val="00E31A96"/>
    <w:rsid w:val="00E34581"/>
    <w:rsid w:val="00E60DA8"/>
    <w:rsid w:val="00E80557"/>
    <w:rsid w:val="00F26781"/>
    <w:rsid w:val="00F81670"/>
    <w:rsid w:val="00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BA137D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2231"/>
    <w:pPr>
      <w:spacing w:after="0" w:line="240" w:lineRule="auto"/>
    </w:pPr>
    <w:rPr>
      <w:rFonts w:ascii="Calibri" w:eastAsia="Times New Roman" w:hAnsi="Calibri" w:cs="Consolas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2231"/>
    <w:rPr>
      <w:rFonts w:ascii="Calibri" w:eastAsia="Times New Roman" w:hAnsi="Calibri" w:cs="Consolas"/>
      <w:szCs w:val="21"/>
      <w:lang w:eastAsia="pl-PL"/>
    </w:rPr>
  </w:style>
  <w:style w:type="paragraph" w:customStyle="1" w:styleId="Akapitzlist2">
    <w:name w:val="Akapit z listą2"/>
    <w:basedOn w:val="Normalny"/>
    <w:rsid w:val="00E27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Akapitzlist">
    <w:name w:val="List Paragraph"/>
    <w:basedOn w:val="Normalny"/>
    <w:uiPriority w:val="34"/>
    <w:qFormat/>
    <w:rsid w:val="008750F2"/>
    <w:pPr>
      <w:ind w:left="720"/>
      <w:contextualSpacing/>
    </w:pPr>
  </w:style>
  <w:style w:type="paragraph" w:styleId="Bezodstpw">
    <w:name w:val="No Spacing"/>
    <w:uiPriority w:val="1"/>
    <w:qFormat/>
    <w:rsid w:val="00731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Joanna Jaroch</cp:lastModifiedBy>
  <cp:revision>4</cp:revision>
  <cp:lastPrinted>2022-07-12T09:25:00Z</cp:lastPrinted>
  <dcterms:created xsi:type="dcterms:W3CDTF">2022-07-11T07:42:00Z</dcterms:created>
  <dcterms:modified xsi:type="dcterms:W3CDTF">2022-07-12T09:42:00Z</dcterms:modified>
</cp:coreProperties>
</file>