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3FDA0" w14:textId="6FA5ACE7" w:rsidR="0050713D" w:rsidRPr="00516520" w:rsidRDefault="005E3E68" w:rsidP="00C904DE">
      <w:pPr>
        <w:spacing w:after="120" w:line="360" w:lineRule="auto"/>
        <w:jc w:val="right"/>
        <w:rPr>
          <w:rFonts w:ascii="Trebuchet MS" w:hAnsi="Trebuchet MS"/>
          <w:sz w:val="20"/>
          <w:szCs w:val="20"/>
        </w:rPr>
      </w:pPr>
      <w:r w:rsidRPr="00516520">
        <w:rPr>
          <w:rFonts w:ascii="Trebuchet MS" w:hAnsi="Trebuchet MS"/>
          <w:sz w:val="20"/>
          <w:szCs w:val="20"/>
        </w:rPr>
        <w:tab/>
      </w:r>
      <w:r w:rsidRPr="00516520">
        <w:rPr>
          <w:rFonts w:ascii="Trebuchet MS" w:hAnsi="Trebuchet MS"/>
          <w:sz w:val="20"/>
          <w:szCs w:val="20"/>
        </w:rPr>
        <w:tab/>
      </w:r>
      <w:r w:rsidRPr="00516520">
        <w:rPr>
          <w:rFonts w:ascii="Trebuchet MS" w:hAnsi="Trebuchet MS"/>
          <w:sz w:val="20"/>
          <w:szCs w:val="20"/>
        </w:rPr>
        <w:tab/>
      </w:r>
      <w:r w:rsidRPr="00516520">
        <w:rPr>
          <w:rFonts w:ascii="Trebuchet MS" w:hAnsi="Trebuchet MS"/>
          <w:sz w:val="20"/>
          <w:szCs w:val="20"/>
        </w:rPr>
        <w:tab/>
      </w:r>
      <w:r w:rsidRPr="00516520">
        <w:rPr>
          <w:rFonts w:ascii="Trebuchet MS" w:hAnsi="Trebuchet MS"/>
          <w:sz w:val="20"/>
          <w:szCs w:val="20"/>
        </w:rPr>
        <w:tab/>
      </w:r>
      <w:r w:rsidRPr="00516520">
        <w:rPr>
          <w:rFonts w:ascii="Trebuchet MS" w:hAnsi="Trebuchet MS"/>
          <w:sz w:val="20"/>
          <w:szCs w:val="20"/>
        </w:rPr>
        <w:tab/>
      </w:r>
      <w:r w:rsidRPr="00516520">
        <w:rPr>
          <w:rFonts w:ascii="Trebuchet MS" w:hAnsi="Trebuchet MS"/>
          <w:sz w:val="20"/>
          <w:szCs w:val="20"/>
        </w:rPr>
        <w:tab/>
      </w:r>
      <w:r w:rsidRPr="00516520">
        <w:rPr>
          <w:rFonts w:ascii="Trebuchet MS" w:hAnsi="Trebuchet MS"/>
          <w:sz w:val="20"/>
          <w:szCs w:val="20"/>
        </w:rPr>
        <w:tab/>
      </w:r>
      <w:r w:rsidR="0050713D" w:rsidRPr="00516520">
        <w:rPr>
          <w:rFonts w:ascii="Trebuchet MS" w:hAnsi="Trebuchet MS"/>
          <w:sz w:val="20"/>
          <w:szCs w:val="20"/>
        </w:rPr>
        <w:t>Warszawa</w:t>
      </w:r>
      <w:r w:rsidR="00A452AB" w:rsidRPr="00516520">
        <w:rPr>
          <w:rFonts w:ascii="Trebuchet MS" w:hAnsi="Trebuchet MS"/>
          <w:sz w:val="20"/>
          <w:szCs w:val="20"/>
        </w:rPr>
        <w:t xml:space="preserve">, </w:t>
      </w:r>
      <w:r w:rsidR="007B21EB">
        <w:rPr>
          <w:rFonts w:ascii="Trebuchet MS" w:hAnsi="Trebuchet MS"/>
          <w:sz w:val="20"/>
          <w:szCs w:val="20"/>
        </w:rPr>
        <w:t>11</w:t>
      </w:r>
      <w:r w:rsidR="00A452AB" w:rsidRPr="00516520">
        <w:rPr>
          <w:rFonts w:ascii="Trebuchet MS" w:hAnsi="Trebuchet MS"/>
          <w:sz w:val="20"/>
          <w:szCs w:val="20"/>
        </w:rPr>
        <w:t xml:space="preserve"> lipca </w:t>
      </w:r>
      <w:r w:rsidR="0050713D" w:rsidRPr="00516520">
        <w:rPr>
          <w:rFonts w:ascii="Trebuchet MS" w:hAnsi="Trebuchet MS"/>
          <w:sz w:val="20"/>
          <w:szCs w:val="20"/>
        </w:rPr>
        <w:t>2022</w:t>
      </w:r>
      <w:r w:rsidR="00A452AB" w:rsidRPr="00516520">
        <w:rPr>
          <w:rFonts w:ascii="Trebuchet MS" w:hAnsi="Trebuchet MS"/>
          <w:sz w:val="20"/>
          <w:szCs w:val="20"/>
        </w:rPr>
        <w:t xml:space="preserve"> r. </w:t>
      </w:r>
    </w:p>
    <w:p w14:paraId="53CCBB2B" w14:textId="003594E2" w:rsidR="0050713D" w:rsidRPr="00516520" w:rsidRDefault="005E3E68" w:rsidP="00C904DE">
      <w:pPr>
        <w:spacing w:after="120" w:line="360" w:lineRule="auto"/>
        <w:jc w:val="right"/>
        <w:rPr>
          <w:rFonts w:ascii="Trebuchet MS" w:hAnsi="Trebuchet MS"/>
          <w:sz w:val="20"/>
          <w:szCs w:val="20"/>
        </w:rPr>
      </w:pPr>
      <w:r w:rsidRPr="00516520">
        <w:rPr>
          <w:rFonts w:ascii="Trebuchet MS" w:hAnsi="Trebuchet MS"/>
          <w:sz w:val="20"/>
          <w:szCs w:val="20"/>
        </w:rPr>
        <w:tab/>
      </w:r>
      <w:r w:rsidR="00884773" w:rsidRPr="00516520">
        <w:rPr>
          <w:rFonts w:ascii="Trebuchet MS" w:hAnsi="Trebuchet MS"/>
          <w:sz w:val="20"/>
          <w:szCs w:val="20"/>
        </w:rPr>
        <w:t xml:space="preserve">         </w:t>
      </w:r>
    </w:p>
    <w:p w14:paraId="465563ED" w14:textId="645F4B88" w:rsidR="0050713D" w:rsidRDefault="00D0209A" w:rsidP="00D0209A">
      <w:pPr>
        <w:spacing w:after="120" w:line="276" w:lineRule="auto"/>
        <w:jc w:val="right"/>
      </w:pPr>
      <w:r>
        <w:rPr>
          <w:rFonts w:ascii="Trebuchet MS" w:hAnsi="Trebuchet MS"/>
          <w:sz w:val="20"/>
          <w:szCs w:val="20"/>
        </w:rPr>
        <w:t xml:space="preserve">Sz. P. </w:t>
      </w:r>
      <w:r w:rsidRPr="00D0209A">
        <w:rPr>
          <w:rFonts w:ascii="Trebuchet MS" w:hAnsi="Trebuchet MS"/>
          <w:sz w:val="20"/>
          <w:szCs w:val="20"/>
        </w:rPr>
        <w:t>Magdalena Rzeczkowska</w:t>
      </w:r>
      <w:r>
        <w:rPr>
          <w:rFonts w:ascii="Trebuchet MS" w:hAnsi="Trebuchet MS"/>
          <w:sz w:val="20"/>
          <w:szCs w:val="20"/>
        </w:rPr>
        <w:br/>
      </w:r>
      <w:r w:rsidRPr="00D0209A">
        <w:rPr>
          <w:rFonts w:ascii="Trebuchet MS" w:hAnsi="Trebuchet MS"/>
          <w:sz w:val="20"/>
          <w:szCs w:val="20"/>
        </w:rPr>
        <w:t xml:space="preserve">Minister </w:t>
      </w:r>
      <w:r>
        <w:rPr>
          <w:rFonts w:ascii="Trebuchet MS" w:hAnsi="Trebuchet MS"/>
          <w:sz w:val="20"/>
          <w:szCs w:val="20"/>
        </w:rPr>
        <w:t>F</w:t>
      </w:r>
      <w:r w:rsidRPr="00D0209A">
        <w:rPr>
          <w:rFonts w:ascii="Trebuchet MS" w:hAnsi="Trebuchet MS"/>
          <w:sz w:val="20"/>
          <w:szCs w:val="20"/>
        </w:rPr>
        <w:t>inansów</w:t>
      </w:r>
    </w:p>
    <w:p w14:paraId="48D27131" w14:textId="39026BE7" w:rsidR="00D0209A" w:rsidRPr="00516520" w:rsidRDefault="00D0209A" w:rsidP="00D0209A">
      <w:pPr>
        <w:spacing w:after="120" w:line="276" w:lineRule="auto"/>
        <w:jc w:val="right"/>
        <w:rPr>
          <w:rFonts w:ascii="Trebuchet MS" w:hAnsi="Trebuchet MS"/>
          <w:sz w:val="20"/>
          <w:szCs w:val="20"/>
        </w:rPr>
      </w:pPr>
      <w:r>
        <w:rPr>
          <w:rFonts w:ascii="Trebuchet MS" w:hAnsi="Trebuchet MS"/>
          <w:sz w:val="20"/>
          <w:szCs w:val="20"/>
        </w:rPr>
        <w:t xml:space="preserve">Sz. P. </w:t>
      </w:r>
      <w:r w:rsidRPr="00D0209A">
        <w:rPr>
          <w:rFonts w:ascii="Trebuchet MS" w:hAnsi="Trebuchet MS"/>
          <w:sz w:val="20"/>
          <w:szCs w:val="20"/>
        </w:rPr>
        <w:t>Artur Soboń</w:t>
      </w:r>
      <w:r>
        <w:rPr>
          <w:rFonts w:ascii="Trebuchet MS" w:hAnsi="Trebuchet MS"/>
          <w:sz w:val="20"/>
          <w:szCs w:val="20"/>
        </w:rPr>
        <w:br/>
      </w:r>
      <w:r w:rsidRPr="00D0209A">
        <w:rPr>
          <w:rFonts w:ascii="Trebuchet MS" w:hAnsi="Trebuchet MS"/>
          <w:sz w:val="20"/>
          <w:szCs w:val="20"/>
        </w:rPr>
        <w:t>Sekretarz Stanu</w:t>
      </w:r>
    </w:p>
    <w:p w14:paraId="22D0E154" w14:textId="36E1882F" w:rsidR="0050713D" w:rsidRPr="00516520" w:rsidRDefault="00884773" w:rsidP="00D0209A">
      <w:pPr>
        <w:spacing w:after="120" w:line="276" w:lineRule="auto"/>
        <w:jc w:val="right"/>
        <w:rPr>
          <w:rFonts w:ascii="Trebuchet MS" w:hAnsi="Trebuchet MS"/>
          <w:sz w:val="20"/>
          <w:szCs w:val="20"/>
        </w:rPr>
      </w:pPr>
      <w:r w:rsidRPr="00516520">
        <w:rPr>
          <w:rFonts w:ascii="Trebuchet MS" w:hAnsi="Trebuchet MS"/>
          <w:sz w:val="20"/>
          <w:szCs w:val="20"/>
        </w:rPr>
        <w:t xml:space="preserve"> </w:t>
      </w:r>
      <w:r w:rsidR="0050713D" w:rsidRPr="00516520">
        <w:rPr>
          <w:rFonts w:ascii="Trebuchet MS" w:hAnsi="Trebuchet MS"/>
          <w:sz w:val="20"/>
          <w:szCs w:val="20"/>
        </w:rPr>
        <w:t>Sz. P Jarosław Szatański</w:t>
      </w:r>
      <w:r w:rsidR="00D0209A">
        <w:rPr>
          <w:rFonts w:ascii="Trebuchet MS" w:hAnsi="Trebuchet MS"/>
          <w:sz w:val="20"/>
          <w:szCs w:val="20"/>
        </w:rPr>
        <w:br/>
      </w:r>
      <w:r w:rsidR="0050713D" w:rsidRPr="00516520">
        <w:rPr>
          <w:rFonts w:ascii="Trebuchet MS" w:hAnsi="Trebuchet MS"/>
          <w:sz w:val="20"/>
          <w:szCs w:val="20"/>
        </w:rPr>
        <w:t>Dyrektor Departamentu Podatków Dochodowych</w:t>
      </w:r>
    </w:p>
    <w:p w14:paraId="3197A2E0" w14:textId="77777777" w:rsidR="0050713D" w:rsidRPr="00516520" w:rsidRDefault="0050713D" w:rsidP="00C904DE">
      <w:pPr>
        <w:spacing w:before="120" w:after="120" w:line="360" w:lineRule="auto"/>
        <w:jc w:val="both"/>
        <w:rPr>
          <w:rFonts w:ascii="Trebuchet MS" w:hAnsi="Trebuchet MS"/>
          <w:sz w:val="20"/>
          <w:szCs w:val="20"/>
        </w:rPr>
      </w:pPr>
    </w:p>
    <w:p w14:paraId="06A9FA4F" w14:textId="77777777" w:rsidR="0050713D" w:rsidRPr="00516520" w:rsidRDefault="0050713D" w:rsidP="00C904DE">
      <w:pPr>
        <w:spacing w:line="360" w:lineRule="auto"/>
        <w:jc w:val="both"/>
        <w:rPr>
          <w:rFonts w:ascii="Trebuchet MS" w:hAnsi="Trebuchet MS" w:cs="Arial"/>
          <w:sz w:val="20"/>
          <w:szCs w:val="20"/>
        </w:rPr>
      </w:pPr>
    </w:p>
    <w:p w14:paraId="4FEAAB17" w14:textId="3BAA6C74" w:rsidR="00516520" w:rsidRPr="00516520" w:rsidRDefault="00516520" w:rsidP="00C904DE">
      <w:pPr>
        <w:spacing w:line="360" w:lineRule="auto"/>
        <w:jc w:val="both"/>
        <w:rPr>
          <w:rFonts w:ascii="Trebuchet MS" w:hAnsi="Trebuchet MS" w:cs="Arial"/>
          <w:sz w:val="20"/>
          <w:szCs w:val="20"/>
        </w:rPr>
      </w:pPr>
      <w:r w:rsidRPr="00516520">
        <w:rPr>
          <w:rFonts w:ascii="Trebuchet MS" w:hAnsi="Trebuchet MS" w:cs="Arial"/>
          <w:sz w:val="20"/>
          <w:szCs w:val="20"/>
        </w:rPr>
        <w:t>W</w:t>
      </w:r>
      <w:r w:rsidR="00E838F9" w:rsidRPr="00516520">
        <w:rPr>
          <w:rFonts w:ascii="Trebuchet MS" w:hAnsi="Trebuchet MS" w:cs="Arial"/>
          <w:sz w:val="20"/>
          <w:szCs w:val="20"/>
        </w:rPr>
        <w:t xml:space="preserve"> związku z trwającymi konsultacjami publicznymi do projektu ustawy z dnia 27 czerwca 2022 roku o zmianie ustawy o podatku dochodowym od osób prawnych, podatku dochodowym od osób fizycznych oraz niektórych innych ustaw, nr wykazu </w:t>
      </w:r>
      <w:r w:rsidR="00E0438E" w:rsidRPr="00516520">
        <w:rPr>
          <w:rFonts w:ascii="Trebuchet MS" w:hAnsi="Trebuchet MS" w:cs="Arial"/>
          <w:sz w:val="20"/>
          <w:szCs w:val="20"/>
        </w:rPr>
        <w:t>UD 404</w:t>
      </w:r>
      <w:r w:rsidR="00E838F9" w:rsidRPr="00516520">
        <w:rPr>
          <w:rFonts w:ascii="Trebuchet MS" w:hAnsi="Trebuchet MS" w:cs="Arial"/>
          <w:sz w:val="20"/>
          <w:szCs w:val="20"/>
        </w:rPr>
        <w:t xml:space="preserve"> (dalej: </w:t>
      </w:r>
      <w:r w:rsidR="00E838F9" w:rsidRPr="00516520">
        <w:rPr>
          <w:rFonts w:ascii="Trebuchet MS" w:hAnsi="Trebuchet MS" w:cs="Arial"/>
          <w:b/>
          <w:bCs/>
          <w:sz w:val="20"/>
          <w:szCs w:val="20"/>
        </w:rPr>
        <w:t>Projekt</w:t>
      </w:r>
      <w:r w:rsidR="00E838F9" w:rsidRPr="00516520">
        <w:rPr>
          <w:rFonts w:ascii="Trebuchet MS" w:hAnsi="Trebuchet MS" w:cs="Arial"/>
          <w:sz w:val="20"/>
          <w:szCs w:val="20"/>
        </w:rPr>
        <w:t xml:space="preserve">), poniżej </w:t>
      </w:r>
      <w:r w:rsidR="0077128A" w:rsidRPr="00516520">
        <w:rPr>
          <w:rFonts w:ascii="Trebuchet MS" w:hAnsi="Trebuchet MS" w:cs="Arial"/>
          <w:sz w:val="20"/>
          <w:szCs w:val="20"/>
        </w:rPr>
        <w:t xml:space="preserve">działając w imieniu International Group of Chambers of Commerce (dalej: </w:t>
      </w:r>
      <w:r w:rsidR="0077128A" w:rsidRPr="00516520">
        <w:rPr>
          <w:rFonts w:ascii="Trebuchet MS" w:hAnsi="Trebuchet MS" w:cs="Arial"/>
          <w:b/>
          <w:bCs/>
          <w:sz w:val="20"/>
          <w:szCs w:val="20"/>
        </w:rPr>
        <w:t>IGCC</w:t>
      </w:r>
      <w:r w:rsidR="00D0209A">
        <w:rPr>
          <w:rFonts w:ascii="Trebuchet MS" w:hAnsi="Trebuchet MS" w:cs="Arial"/>
          <w:sz w:val="20"/>
          <w:szCs w:val="20"/>
        </w:rPr>
        <w:t xml:space="preserve">, </w:t>
      </w:r>
      <w:r w:rsidR="0077128A" w:rsidRPr="00516520">
        <w:rPr>
          <w:rFonts w:ascii="Trebuchet MS" w:hAnsi="Trebuchet MS" w:cs="Arial"/>
          <w:b/>
          <w:bCs/>
          <w:sz w:val="20"/>
          <w:szCs w:val="20"/>
        </w:rPr>
        <w:t>Izby</w:t>
      </w:r>
      <w:r w:rsidR="00D0209A">
        <w:rPr>
          <w:rFonts w:ascii="Trebuchet MS" w:hAnsi="Trebuchet MS" w:cs="Arial"/>
          <w:b/>
          <w:bCs/>
          <w:sz w:val="20"/>
          <w:szCs w:val="20"/>
        </w:rPr>
        <w:t xml:space="preserve"> lub</w:t>
      </w:r>
      <w:r w:rsidR="00657C74">
        <w:rPr>
          <w:rFonts w:ascii="Trebuchet MS" w:hAnsi="Trebuchet MS" w:cs="Arial"/>
          <w:b/>
          <w:bCs/>
          <w:sz w:val="20"/>
          <w:szCs w:val="20"/>
        </w:rPr>
        <w:t xml:space="preserve"> Podmioty Zainteresowane</w:t>
      </w:r>
      <w:r w:rsidR="0077128A" w:rsidRPr="00516520">
        <w:rPr>
          <w:rFonts w:ascii="Trebuchet MS" w:hAnsi="Trebuchet MS" w:cs="Arial"/>
          <w:sz w:val="20"/>
          <w:szCs w:val="20"/>
        </w:rPr>
        <w:t xml:space="preserve">) </w:t>
      </w:r>
      <w:r w:rsidR="00E838F9" w:rsidRPr="00516520">
        <w:rPr>
          <w:rFonts w:ascii="Trebuchet MS" w:hAnsi="Trebuchet MS" w:cs="Arial"/>
          <w:sz w:val="20"/>
          <w:szCs w:val="20"/>
        </w:rPr>
        <w:t xml:space="preserve">przedstawiamy </w:t>
      </w:r>
      <w:r w:rsidRPr="00516520">
        <w:rPr>
          <w:rFonts w:ascii="Trebuchet MS" w:hAnsi="Trebuchet MS" w:cs="Arial"/>
          <w:sz w:val="20"/>
          <w:szCs w:val="20"/>
        </w:rPr>
        <w:t xml:space="preserve">poniżej </w:t>
      </w:r>
      <w:r w:rsidR="00E838F9" w:rsidRPr="00516520">
        <w:rPr>
          <w:rFonts w:ascii="Trebuchet MS" w:hAnsi="Trebuchet MS" w:cs="Arial"/>
          <w:sz w:val="20"/>
          <w:szCs w:val="20"/>
        </w:rPr>
        <w:t xml:space="preserve">nasze uwagi </w:t>
      </w:r>
      <w:r w:rsidRPr="00516520">
        <w:rPr>
          <w:rFonts w:ascii="Trebuchet MS" w:hAnsi="Trebuchet MS" w:cs="Arial"/>
          <w:sz w:val="20"/>
          <w:szCs w:val="20"/>
        </w:rPr>
        <w:t>i opinie w zakresie:</w:t>
      </w:r>
    </w:p>
    <w:p w14:paraId="36EA357B" w14:textId="22A0C743" w:rsidR="00516520" w:rsidRPr="00516520" w:rsidRDefault="00516520" w:rsidP="00C904DE">
      <w:pPr>
        <w:pStyle w:val="Akapitzlist"/>
        <w:numPr>
          <w:ilvl w:val="0"/>
          <w:numId w:val="10"/>
        </w:numPr>
        <w:spacing w:line="360" w:lineRule="auto"/>
        <w:jc w:val="both"/>
        <w:rPr>
          <w:rFonts w:ascii="Trebuchet MS" w:hAnsi="Trebuchet MS" w:cs="Arial"/>
          <w:sz w:val="20"/>
          <w:szCs w:val="20"/>
        </w:rPr>
      </w:pPr>
      <w:r w:rsidRPr="00516520">
        <w:rPr>
          <w:rFonts w:ascii="Trebuchet MS" w:hAnsi="Trebuchet MS" w:cs="Arial"/>
          <w:sz w:val="20"/>
          <w:szCs w:val="20"/>
        </w:rPr>
        <w:t>Podatku u źródła</w:t>
      </w:r>
    </w:p>
    <w:p w14:paraId="7D635D35" w14:textId="77777777" w:rsidR="00516520" w:rsidRPr="00516520" w:rsidRDefault="00516520" w:rsidP="00C904DE">
      <w:pPr>
        <w:pStyle w:val="Akapitzlist"/>
        <w:numPr>
          <w:ilvl w:val="0"/>
          <w:numId w:val="10"/>
        </w:numPr>
        <w:spacing w:line="360" w:lineRule="auto"/>
        <w:jc w:val="both"/>
        <w:rPr>
          <w:rFonts w:ascii="Trebuchet MS" w:hAnsi="Trebuchet MS" w:cs="Arial"/>
          <w:sz w:val="20"/>
          <w:szCs w:val="20"/>
        </w:rPr>
      </w:pPr>
      <w:r w:rsidRPr="00516520">
        <w:rPr>
          <w:rFonts w:ascii="Trebuchet MS" w:hAnsi="Trebuchet MS" w:cs="Arial"/>
          <w:sz w:val="20"/>
          <w:szCs w:val="20"/>
        </w:rPr>
        <w:t>Cen Transferowych</w:t>
      </w:r>
    </w:p>
    <w:p w14:paraId="06082562" w14:textId="515DCA35" w:rsidR="00516520" w:rsidRPr="00516520" w:rsidRDefault="00516520" w:rsidP="00C904DE">
      <w:pPr>
        <w:pStyle w:val="Akapitzlist"/>
        <w:numPr>
          <w:ilvl w:val="0"/>
          <w:numId w:val="10"/>
        </w:numPr>
        <w:spacing w:line="360" w:lineRule="auto"/>
        <w:jc w:val="both"/>
        <w:rPr>
          <w:rFonts w:ascii="Trebuchet MS" w:hAnsi="Trebuchet MS" w:cs="Arial"/>
          <w:sz w:val="20"/>
          <w:szCs w:val="20"/>
        </w:rPr>
      </w:pPr>
      <w:r w:rsidRPr="00516520">
        <w:rPr>
          <w:rFonts w:ascii="Trebuchet MS" w:hAnsi="Trebuchet MS" w:cs="Arial"/>
          <w:sz w:val="20"/>
          <w:szCs w:val="20"/>
        </w:rPr>
        <w:t xml:space="preserve">CIT </w:t>
      </w:r>
      <w:r w:rsidR="00E838F9" w:rsidRPr="00516520">
        <w:rPr>
          <w:rFonts w:ascii="Trebuchet MS" w:hAnsi="Trebuchet MS" w:cs="Arial"/>
          <w:sz w:val="20"/>
          <w:szCs w:val="20"/>
        </w:rPr>
        <w:t xml:space="preserve"> </w:t>
      </w:r>
    </w:p>
    <w:p w14:paraId="1215440E" w14:textId="0F9DA0C0" w:rsidR="00516520" w:rsidRPr="00516520" w:rsidRDefault="00516520" w:rsidP="00C904DE">
      <w:pPr>
        <w:spacing w:line="360" w:lineRule="auto"/>
        <w:jc w:val="both"/>
        <w:rPr>
          <w:rFonts w:ascii="Trebuchet MS" w:hAnsi="Trebuchet MS" w:cs="Arial"/>
          <w:sz w:val="20"/>
          <w:szCs w:val="20"/>
        </w:rPr>
      </w:pPr>
      <w:r w:rsidRPr="00516520">
        <w:rPr>
          <w:rFonts w:ascii="Trebuchet MS" w:hAnsi="Trebuchet MS" w:cs="Arial"/>
          <w:sz w:val="20"/>
          <w:szCs w:val="20"/>
        </w:rPr>
        <w:t>IGCC w pierwszej kolejności pragnie wyrazić swoją aprobatę dla inicjatywy legislacyjnej ukierunkowanej na nowelizację obowiązujących od dnia 1 stycznia 2021 r.</w:t>
      </w:r>
      <w:r w:rsidRPr="00516520">
        <w:rPr>
          <w:rStyle w:val="Odwoanieprzypisudolnego"/>
          <w:rFonts w:ascii="Trebuchet MS" w:hAnsi="Trebuchet MS" w:cs="Arial"/>
          <w:sz w:val="20"/>
          <w:szCs w:val="20"/>
        </w:rPr>
        <w:footnoteReference w:id="1"/>
      </w:r>
      <w:r w:rsidRPr="00516520">
        <w:rPr>
          <w:rFonts w:ascii="Trebuchet MS" w:hAnsi="Trebuchet MS" w:cs="Arial"/>
          <w:sz w:val="20"/>
          <w:szCs w:val="20"/>
        </w:rPr>
        <w:t xml:space="preserve"> przepisów art. 11o Ustawy o CIT.</w:t>
      </w:r>
      <w:r w:rsidR="00D0209A">
        <w:rPr>
          <w:rFonts w:ascii="Trebuchet MS" w:hAnsi="Trebuchet MS" w:cs="Arial"/>
          <w:sz w:val="20"/>
          <w:szCs w:val="20"/>
        </w:rPr>
        <w:t xml:space="preserve"> </w:t>
      </w:r>
      <w:r w:rsidRPr="00516520">
        <w:rPr>
          <w:rFonts w:ascii="Trebuchet MS" w:hAnsi="Trebuchet MS" w:cs="Arial"/>
          <w:sz w:val="20"/>
          <w:szCs w:val="20"/>
        </w:rPr>
        <w:t xml:space="preserve">Jednocześnie wyrażamy gotowość dalszych spotkań i dialogu w tym zakresie zarówno z przedstawicielami Ministerstwa Finansów jak i przedstawicielami Krajowej Administracji Skarbowej, zarówno w obszarze nowelizacji przepisów jak i planowanego projektu objaśnień. </w:t>
      </w:r>
    </w:p>
    <w:p w14:paraId="1141F32D" w14:textId="77777777" w:rsidR="00D0209A" w:rsidRDefault="00516520" w:rsidP="00D0209A">
      <w:pPr>
        <w:spacing w:line="360" w:lineRule="auto"/>
        <w:jc w:val="both"/>
        <w:rPr>
          <w:rFonts w:ascii="Trebuchet MS" w:eastAsia="Times New Roman" w:hAnsi="Trebuchet MS" w:cs="Times New Roman"/>
          <w:sz w:val="20"/>
          <w:szCs w:val="20"/>
          <w:lang w:eastAsia="pl-PL"/>
        </w:rPr>
      </w:pPr>
      <w:r w:rsidRPr="00516520">
        <w:rPr>
          <w:rFonts w:ascii="Trebuchet MS" w:eastAsia="Times New Roman" w:hAnsi="Trebuchet MS" w:cs="Times New Roman"/>
          <w:sz w:val="20"/>
          <w:szCs w:val="20"/>
          <w:lang w:eastAsia="pl-PL"/>
        </w:rPr>
        <w:t>Łączę wyrazy szacunku,</w:t>
      </w:r>
    </w:p>
    <w:p w14:paraId="0527D7C6" w14:textId="5E6DA59B" w:rsidR="00516520" w:rsidRDefault="00D0209A" w:rsidP="00D0209A">
      <w:pPr>
        <w:spacing w:line="360" w:lineRule="auto"/>
        <w:jc w:val="right"/>
        <w:rPr>
          <w:rFonts w:ascii="Trebuchet MS" w:hAnsi="Trebuchet MS" w:cs="Arial"/>
          <w:noProof/>
          <w:sz w:val="20"/>
          <w:szCs w:val="20"/>
        </w:rPr>
      </w:pPr>
      <w:r>
        <w:rPr>
          <w:rFonts w:ascii="Trebuchet MS" w:hAnsi="Trebuchet MS" w:cs="Arial"/>
          <w:noProof/>
          <w:sz w:val="20"/>
          <w:szCs w:val="20"/>
        </w:rPr>
        <w:t>Joanna Jaroch-Pszeniczna</w:t>
      </w:r>
    </w:p>
    <w:p w14:paraId="2D2CAB36" w14:textId="77777777" w:rsidR="00D0209A" w:rsidRDefault="00D0209A" w:rsidP="00D0209A">
      <w:pPr>
        <w:tabs>
          <w:tab w:val="left" w:pos="2694"/>
        </w:tabs>
        <w:spacing w:after="120" w:line="360" w:lineRule="auto"/>
        <w:jc w:val="right"/>
        <w:rPr>
          <w:rFonts w:ascii="Trebuchet MS" w:hAnsi="Trebuchet MS" w:cs="Arial"/>
          <w:noProof/>
          <w:sz w:val="20"/>
          <w:szCs w:val="20"/>
        </w:rPr>
      </w:pPr>
    </w:p>
    <w:p w14:paraId="70359C1B" w14:textId="2D9D3DD7" w:rsidR="00D0209A" w:rsidRPr="00516520" w:rsidRDefault="00D0209A" w:rsidP="00D0209A">
      <w:pPr>
        <w:tabs>
          <w:tab w:val="left" w:pos="2694"/>
        </w:tabs>
        <w:spacing w:after="120" w:line="360" w:lineRule="auto"/>
        <w:jc w:val="right"/>
        <w:rPr>
          <w:rFonts w:ascii="Trebuchet MS" w:hAnsi="Trebuchet MS" w:cs="Arial"/>
          <w:sz w:val="20"/>
          <w:szCs w:val="20"/>
        </w:rPr>
      </w:pPr>
      <w:r>
        <w:rPr>
          <w:rFonts w:ascii="Trebuchet MS" w:hAnsi="Trebuchet MS" w:cs="Arial"/>
          <w:noProof/>
          <w:sz w:val="20"/>
          <w:szCs w:val="20"/>
        </w:rPr>
        <w:t>Wicedyrektor CCIFP</w:t>
      </w:r>
    </w:p>
    <w:p w14:paraId="648D8B1D" w14:textId="77777777" w:rsidR="00516520" w:rsidRPr="00516520" w:rsidRDefault="00516520" w:rsidP="00C904DE">
      <w:pPr>
        <w:tabs>
          <w:tab w:val="left" w:pos="2694"/>
        </w:tabs>
        <w:spacing w:line="360" w:lineRule="auto"/>
        <w:jc w:val="both"/>
        <w:rPr>
          <w:rFonts w:ascii="Trebuchet MS" w:hAnsi="Trebuchet MS" w:cs="Arial"/>
          <w:sz w:val="20"/>
          <w:szCs w:val="20"/>
        </w:rPr>
      </w:pPr>
      <w:r w:rsidRPr="00516520">
        <w:rPr>
          <w:rFonts w:ascii="Trebuchet MS" w:hAnsi="Trebuchet MS" w:cs="Arial"/>
          <w:sz w:val="20"/>
          <w:szCs w:val="20"/>
        </w:rPr>
        <w:lastRenderedPageBreak/>
        <w:t>Międzynarodowa Grupa Izb Handlowych – International Group of Chambers of Commerce (IGCC) powstała w 2005 r. w celu stworzenia jednolitej platformy do komunikacji dla międzynarodowego środowiska przedsiębiorstw z władzami Rzeczpospolitej.</w:t>
      </w:r>
    </w:p>
    <w:p w14:paraId="251EBC9E" w14:textId="77777777" w:rsidR="00516520" w:rsidRPr="00516520" w:rsidRDefault="00516520" w:rsidP="00C904DE">
      <w:pPr>
        <w:tabs>
          <w:tab w:val="left" w:pos="2694"/>
        </w:tabs>
        <w:spacing w:line="360" w:lineRule="auto"/>
        <w:jc w:val="both"/>
        <w:rPr>
          <w:rFonts w:ascii="Trebuchet MS" w:hAnsi="Trebuchet MS" w:cs="Arial"/>
          <w:sz w:val="20"/>
          <w:szCs w:val="20"/>
        </w:rPr>
      </w:pPr>
      <w:r w:rsidRPr="00516520">
        <w:rPr>
          <w:rFonts w:ascii="Trebuchet MS" w:hAnsi="Trebuchet MS" w:cs="Arial"/>
          <w:sz w:val="20"/>
          <w:szCs w:val="20"/>
        </w:rPr>
        <w:t>Obecnie IGCC skupia 17 Izb Handlowych, które reprezentuje obecnie 23 kraje i ponad 2700 przedsiębiorstw, przedstawicieli najbardziej znaczących inwestorów zagranicznych na polskim rynku, zatrudniającym bezpośrednio ponad 800 tysięcy osób.</w:t>
      </w:r>
    </w:p>
    <w:p w14:paraId="2736AE26" w14:textId="77777777" w:rsidR="00516520" w:rsidRPr="00516520" w:rsidRDefault="00516520" w:rsidP="00C904DE">
      <w:pPr>
        <w:tabs>
          <w:tab w:val="left" w:pos="2694"/>
        </w:tabs>
        <w:spacing w:line="360" w:lineRule="auto"/>
        <w:jc w:val="both"/>
        <w:rPr>
          <w:rFonts w:ascii="Trebuchet MS" w:hAnsi="Trebuchet MS" w:cs="Arial"/>
          <w:sz w:val="20"/>
          <w:szCs w:val="20"/>
        </w:rPr>
      </w:pPr>
      <w:r w:rsidRPr="00516520">
        <w:rPr>
          <w:rFonts w:ascii="Trebuchet MS" w:hAnsi="Trebuchet MS" w:cs="Arial"/>
          <w:sz w:val="20"/>
          <w:szCs w:val="20"/>
        </w:rPr>
        <w:t xml:space="preserve"> </w:t>
      </w:r>
    </w:p>
    <w:p w14:paraId="77C3BCD8" w14:textId="77777777" w:rsidR="00516520" w:rsidRP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 xml:space="preserve"> W imieniu:</w:t>
      </w:r>
    </w:p>
    <w:p w14:paraId="2B30B0E4" w14:textId="77777777" w:rsidR="00516520" w:rsidRPr="00516520" w:rsidRDefault="00516520" w:rsidP="00D0209A">
      <w:pPr>
        <w:tabs>
          <w:tab w:val="left" w:pos="2694"/>
        </w:tabs>
        <w:spacing w:before="60" w:after="60" w:line="276" w:lineRule="auto"/>
        <w:jc w:val="both"/>
        <w:rPr>
          <w:rFonts w:ascii="Trebuchet MS" w:hAnsi="Trebuchet MS" w:cs="Arial"/>
          <w:sz w:val="20"/>
          <w:szCs w:val="20"/>
        </w:rPr>
      </w:pPr>
      <w:r w:rsidRPr="00516520">
        <w:rPr>
          <w:rFonts w:ascii="Trebuchet MS" w:hAnsi="Trebuchet MS" w:cs="Arial"/>
          <w:sz w:val="20"/>
          <w:szCs w:val="20"/>
        </w:rPr>
        <w:t>1. Advantage Austria</w:t>
      </w:r>
    </w:p>
    <w:p w14:paraId="05FEEF93" w14:textId="77777777" w:rsidR="00516520" w:rsidRPr="00516520" w:rsidRDefault="00516520" w:rsidP="00D0209A">
      <w:pPr>
        <w:tabs>
          <w:tab w:val="left" w:pos="2694"/>
        </w:tabs>
        <w:spacing w:before="60" w:after="60" w:line="276" w:lineRule="auto"/>
        <w:jc w:val="both"/>
        <w:rPr>
          <w:rFonts w:ascii="Trebuchet MS" w:hAnsi="Trebuchet MS" w:cs="Arial"/>
          <w:sz w:val="20"/>
          <w:szCs w:val="20"/>
        </w:rPr>
      </w:pPr>
      <w:r w:rsidRPr="00516520">
        <w:rPr>
          <w:rFonts w:ascii="Trebuchet MS" w:hAnsi="Trebuchet MS" w:cs="Arial"/>
          <w:sz w:val="20"/>
          <w:szCs w:val="20"/>
        </w:rPr>
        <w:t>2. AHK Polska (Polsko-Niemiecka Izba Przemysłowo-Handlowa)</w:t>
      </w:r>
    </w:p>
    <w:p w14:paraId="20399E97" w14:textId="77777777" w:rsidR="00516520" w:rsidRPr="00516520" w:rsidRDefault="00516520" w:rsidP="00D0209A">
      <w:pPr>
        <w:tabs>
          <w:tab w:val="left" w:pos="2694"/>
        </w:tabs>
        <w:spacing w:before="60" w:after="60" w:line="276" w:lineRule="auto"/>
        <w:jc w:val="both"/>
        <w:rPr>
          <w:rFonts w:ascii="Trebuchet MS" w:hAnsi="Trebuchet MS" w:cs="Arial"/>
          <w:sz w:val="20"/>
          <w:szCs w:val="20"/>
        </w:rPr>
      </w:pPr>
      <w:r w:rsidRPr="00516520">
        <w:rPr>
          <w:rFonts w:ascii="Trebuchet MS" w:hAnsi="Trebuchet MS" w:cs="Arial"/>
          <w:sz w:val="20"/>
          <w:szCs w:val="20"/>
        </w:rPr>
        <w:t>3. AmCham (Amerykańska Izba Handlowa w Polsce)</w:t>
      </w:r>
    </w:p>
    <w:p w14:paraId="5D85C592" w14:textId="77777777" w:rsidR="00516520" w:rsidRPr="00516520" w:rsidRDefault="00516520" w:rsidP="00D0209A">
      <w:pPr>
        <w:tabs>
          <w:tab w:val="left" w:pos="2694"/>
        </w:tabs>
        <w:spacing w:before="60" w:after="60" w:line="276" w:lineRule="auto"/>
        <w:jc w:val="both"/>
        <w:rPr>
          <w:rFonts w:ascii="Trebuchet MS" w:hAnsi="Trebuchet MS" w:cs="Arial"/>
          <w:sz w:val="20"/>
          <w:szCs w:val="20"/>
        </w:rPr>
      </w:pPr>
      <w:r w:rsidRPr="00516520">
        <w:rPr>
          <w:rFonts w:ascii="Trebuchet MS" w:hAnsi="Trebuchet MS" w:cs="Arial"/>
          <w:sz w:val="20"/>
          <w:szCs w:val="20"/>
        </w:rPr>
        <w:t>4. BBC (Belgijska Izba Gospodarcza)</w:t>
      </w:r>
    </w:p>
    <w:p w14:paraId="6FF94D26" w14:textId="77777777" w:rsidR="00516520" w:rsidRPr="00516520" w:rsidRDefault="00516520" w:rsidP="00D0209A">
      <w:pPr>
        <w:tabs>
          <w:tab w:val="left" w:pos="2694"/>
        </w:tabs>
        <w:spacing w:before="60" w:after="60" w:line="276" w:lineRule="auto"/>
        <w:jc w:val="both"/>
        <w:rPr>
          <w:rFonts w:ascii="Trebuchet MS" w:hAnsi="Trebuchet MS" w:cs="Arial"/>
          <w:sz w:val="20"/>
          <w:szCs w:val="20"/>
        </w:rPr>
      </w:pPr>
      <w:r w:rsidRPr="00516520">
        <w:rPr>
          <w:rFonts w:ascii="Trebuchet MS" w:hAnsi="Trebuchet MS" w:cs="Arial"/>
          <w:sz w:val="20"/>
          <w:szCs w:val="20"/>
        </w:rPr>
        <w:t>5. BPCC (Brytyjsko-Polska Izba Handlowa)</w:t>
      </w:r>
    </w:p>
    <w:p w14:paraId="4A11A636" w14:textId="77777777" w:rsidR="00516520" w:rsidRPr="00516520" w:rsidRDefault="00516520" w:rsidP="00D0209A">
      <w:pPr>
        <w:tabs>
          <w:tab w:val="left" w:pos="2694"/>
        </w:tabs>
        <w:spacing w:before="60" w:after="60" w:line="276" w:lineRule="auto"/>
        <w:jc w:val="both"/>
        <w:rPr>
          <w:rFonts w:ascii="Trebuchet MS" w:hAnsi="Trebuchet MS" w:cs="Arial"/>
          <w:sz w:val="20"/>
          <w:szCs w:val="20"/>
        </w:rPr>
      </w:pPr>
      <w:r w:rsidRPr="00516520">
        <w:rPr>
          <w:rFonts w:ascii="Trebuchet MS" w:hAnsi="Trebuchet MS" w:cs="Arial"/>
          <w:sz w:val="20"/>
          <w:szCs w:val="20"/>
        </w:rPr>
        <w:t>6. CCIFP (Francusko-Polska Izba Gospodarcza)</w:t>
      </w:r>
    </w:p>
    <w:p w14:paraId="222245C1" w14:textId="77777777" w:rsidR="00516520" w:rsidRPr="00516520" w:rsidRDefault="00516520" w:rsidP="00D0209A">
      <w:pPr>
        <w:tabs>
          <w:tab w:val="left" w:pos="2694"/>
        </w:tabs>
        <w:spacing w:before="60" w:after="60" w:line="276" w:lineRule="auto"/>
        <w:jc w:val="both"/>
        <w:rPr>
          <w:rFonts w:ascii="Trebuchet MS" w:hAnsi="Trebuchet MS" w:cs="Arial"/>
          <w:sz w:val="20"/>
          <w:szCs w:val="20"/>
        </w:rPr>
      </w:pPr>
      <w:r w:rsidRPr="00516520">
        <w:rPr>
          <w:rFonts w:ascii="Trebuchet MS" w:hAnsi="Trebuchet MS" w:cs="Arial"/>
          <w:sz w:val="20"/>
          <w:szCs w:val="20"/>
        </w:rPr>
        <w:t>7. CCII (Włosko-Polska Izba Handlowo-Przemysłowa w Polsce)</w:t>
      </w:r>
    </w:p>
    <w:p w14:paraId="17DAB251" w14:textId="77777777" w:rsidR="00516520" w:rsidRPr="00516520" w:rsidRDefault="00516520" w:rsidP="00D0209A">
      <w:pPr>
        <w:tabs>
          <w:tab w:val="left" w:pos="2694"/>
        </w:tabs>
        <w:spacing w:before="60" w:after="60" w:line="276" w:lineRule="auto"/>
        <w:jc w:val="both"/>
        <w:rPr>
          <w:rFonts w:ascii="Trebuchet MS" w:hAnsi="Trebuchet MS" w:cs="Arial"/>
          <w:sz w:val="20"/>
          <w:szCs w:val="20"/>
        </w:rPr>
      </w:pPr>
      <w:r w:rsidRPr="00516520">
        <w:rPr>
          <w:rFonts w:ascii="Trebuchet MS" w:hAnsi="Trebuchet MS" w:cs="Arial"/>
          <w:sz w:val="20"/>
          <w:szCs w:val="20"/>
        </w:rPr>
        <w:t>8. ICC (Irlandzka Izba Handlowa)</w:t>
      </w:r>
    </w:p>
    <w:p w14:paraId="3BF77F8E" w14:textId="77777777" w:rsidR="00516520" w:rsidRPr="00516520" w:rsidRDefault="00516520" w:rsidP="00D0209A">
      <w:pPr>
        <w:tabs>
          <w:tab w:val="left" w:pos="2694"/>
        </w:tabs>
        <w:spacing w:before="60" w:after="60" w:line="276" w:lineRule="auto"/>
        <w:jc w:val="both"/>
        <w:rPr>
          <w:rFonts w:ascii="Trebuchet MS" w:hAnsi="Trebuchet MS" w:cs="Arial"/>
          <w:sz w:val="20"/>
          <w:szCs w:val="20"/>
        </w:rPr>
      </w:pPr>
      <w:r w:rsidRPr="00516520">
        <w:rPr>
          <w:rFonts w:ascii="Trebuchet MS" w:hAnsi="Trebuchet MS" w:cs="Arial"/>
          <w:sz w:val="20"/>
          <w:szCs w:val="20"/>
        </w:rPr>
        <w:t>9. NPCC (Niderlandzko-Polska Izba Gospodarcza)</w:t>
      </w:r>
    </w:p>
    <w:p w14:paraId="20E531EB" w14:textId="77777777" w:rsidR="00516520" w:rsidRPr="00516520" w:rsidRDefault="00516520" w:rsidP="00D0209A">
      <w:pPr>
        <w:tabs>
          <w:tab w:val="left" w:pos="2694"/>
        </w:tabs>
        <w:spacing w:before="60" w:after="60" w:line="276" w:lineRule="auto"/>
        <w:jc w:val="both"/>
        <w:rPr>
          <w:rFonts w:ascii="Trebuchet MS" w:hAnsi="Trebuchet MS" w:cs="Arial"/>
          <w:sz w:val="20"/>
          <w:szCs w:val="20"/>
        </w:rPr>
      </w:pPr>
      <w:r w:rsidRPr="00516520">
        <w:rPr>
          <w:rFonts w:ascii="Trebuchet MS" w:hAnsi="Trebuchet MS" w:cs="Arial"/>
          <w:sz w:val="20"/>
          <w:szCs w:val="20"/>
        </w:rPr>
        <w:t>10. PHIG Polsko-Hiszpańska Izba Gospodarcza)</w:t>
      </w:r>
    </w:p>
    <w:p w14:paraId="13B8DB37" w14:textId="77777777" w:rsidR="00516520" w:rsidRPr="00516520" w:rsidRDefault="00516520" w:rsidP="00D0209A">
      <w:pPr>
        <w:tabs>
          <w:tab w:val="left" w:pos="2694"/>
        </w:tabs>
        <w:spacing w:before="60" w:after="60" w:line="276" w:lineRule="auto"/>
        <w:jc w:val="both"/>
        <w:rPr>
          <w:rFonts w:ascii="Trebuchet MS" w:hAnsi="Trebuchet MS" w:cs="Arial"/>
          <w:sz w:val="20"/>
          <w:szCs w:val="20"/>
          <w:lang w:val="en-GB"/>
        </w:rPr>
      </w:pPr>
      <w:r w:rsidRPr="00516520">
        <w:rPr>
          <w:rFonts w:ascii="Trebuchet MS" w:hAnsi="Trebuchet MS" w:cs="Arial"/>
          <w:sz w:val="20"/>
          <w:szCs w:val="20"/>
          <w:lang w:val="en-GB"/>
        </w:rPr>
        <w:t>11. PICC (Polish-Israeli Chamber of Commerce)</w:t>
      </w:r>
    </w:p>
    <w:p w14:paraId="35BE9477" w14:textId="77777777" w:rsidR="00516520" w:rsidRPr="00516520" w:rsidRDefault="00516520" w:rsidP="00D0209A">
      <w:pPr>
        <w:tabs>
          <w:tab w:val="left" w:pos="2694"/>
        </w:tabs>
        <w:spacing w:before="60" w:after="60" w:line="276" w:lineRule="auto"/>
        <w:jc w:val="both"/>
        <w:rPr>
          <w:rFonts w:ascii="Trebuchet MS" w:hAnsi="Trebuchet MS" w:cs="Arial"/>
          <w:sz w:val="20"/>
          <w:szCs w:val="20"/>
          <w:lang w:val="en-GB"/>
        </w:rPr>
      </w:pPr>
      <w:r w:rsidRPr="00516520">
        <w:rPr>
          <w:rFonts w:ascii="Trebuchet MS" w:hAnsi="Trebuchet MS" w:cs="Arial"/>
          <w:sz w:val="20"/>
          <w:szCs w:val="20"/>
          <w:lang w:val="en-GB"/>
        </w:rPr>
        <w:t>12. Polish Canadian Chamber of Commerce (PCCC)</w:t>
      </w:r>
    </w:p>
    <w:p w14:paraId="6B5257A5" w14:textId="77777777" w:rsidR="00516520" w:rsidRPr="00516520" w:rsidRDefault="00516520" w:rsidP="00D0209A">
      <w:pPr>
        <w:tabs>
          <w:tab w:val="left" w:pos="2694"/>
        </w:tabs>
        <w:spacing w:before="60" w:after="60" w:line="276" w:lineRule="auto"/>
        <w:jc w:val="both"/>
        <w:rPr>
          <w:rFonts w:ascii="Trebuchet MS" w:hAnsi="Trebuchet MS" w:cs="Arial"/>
          <w:sz w:val="20"/>
          <w:szCs w:val="20"/>
        </w:rPr>
      </w:pPr>
      <w:r w:rsidRPr="00516520">
        <w:rPr>
          <w:rFonts w:ascii="Trebuchet MS" w:hAnsi="Trebuchet MS" w:cs="Arial"/>
          <w:sz w:val="20"/>
          <w:szCs w:val="20"/>
        </w:rPr>
        <w:t>13. Polsko - Szwajcarska Izba Gospodarcza</w:t>
      </w:r>
    </w:p>
    <w:p w14:paraId="50F93A8B" w14:textId="77777777" w:rsidR="00516520" w:rsidRPr="00516520" w:rsidRDefault="00516520" w:rsidP="00D0209A">
      <w:pPr>
        <w:tabs>
          <w:tab w:val="left" w:pos="2694"/>
        </w:tabs>
        <w:spacing w:before="60" w:after="60" w:line="276" w:lineRule="auto"/>
        <w:jc w:val="both"/>
        <w:rPr>
          <w:rFonts w:ascii="Trebuchet MS" w:hAnsi="Trebuchet MS" w:cs="Arial"/>
          <w:sz w:val="20"/>
          <w:szCs w:val="20"/>
        </w:rPr>
      </w:pPr>
      <w:r w:rsidRPr="00516520">
        <w:rPr>
          <w:rFonts w:ascii="Trebuchet MS" w:hAnsi="Trebuchet MS" w:cs="Arial"/>
          <w:sz w:val="20"/>
          <w:szCs w:val="20"/>
        </w:rPr>
        <w:t>14. Polsko-Rumuńska Bilateralna Izba Handlowo-Przemysłowa</w:t>
      </w:r>
    </w:p>
    <w:p w14:paraId="0447CC07" w14:textId="77777777" w:rsidR="00516520" w:rsidRPr="00516520" w:rsidRDefault="00516520" w:rsidP="00D0209A">
      <w:pPr>
        <w:tabs>
          <w:tab w:val="left" w:pos="2694"/>
        </w:tabs>
        <w:spacing w:before="60" w:after="60" w:line="276" w:lineRule="auto"/>
        <w:jc w:val="both"/>
        <w:rPr>
          <w:rFonts w:ascii="Trebuchet MS" w:hAnsi="Trebuchet MS" w:cs="Arial"/>
          <w:sz w:val="20"/>
          <w:szCs w:val="20"/>
        </w:rPr>
      </w:pPr>
      <w:r w:rsidRPr="00516520">
        <w:rPr>
          <w:rFonts w:ascii="Trebuchet MS" w:hAnsi="Trebuchet MS" w:cs="Arial"/>
          <w:sz w:val="20"/>
          <w:szCs w:val="20"/>
        </w:rPr>
        <w:t>15. PPCC (Polsko – Portugalska Izba Gospodarcza)</w:t>
      </w:r>
    </w:p>
    <w:p w14:paraId="516AE0BD" w14:textId="77777777" w:rsidR="00516520" w:rsidRPr="00516520" w:rsidRDefault="00516520" w:rsidP="00D0209A">
      <w:pPr>
        <w:tabs>
          <w:tab w:val="left" w:pos="2694"/>
        </w:tabs>
        <w:spacing w:before="60" w:after="60" w:line="276" w:lineRule="auto"/>
        <w:jc w:val="both"/>
        <w:rPr>
          <w:rFonts w:ascii="Trebuchet MS" w:hAnsi="Trebuchet MS" w:cs="Arial"/>
          <w:sz w:val="20"/>
          <w:szCs w:val="20"/>
        </w:rPr>
      </w:pPr>
      <w:r w:rsidRPr="00516520">
        <w:rPr>
          <w:rFonts w:ascii="Trebuchet MS" w:hAnsi="Trebuchet MS" w:cs="Arial"/>
          <w:sz w:val="20"/>
          <w:szCs w:val="20"/>
        </w:rPr>
        <w:t>16. SPCC (Skandynawsko – Polska Izba Gospodarcza)</w:t>
      </w:r>
    </w:p>
    <w:p w14:paraId="0C3C9558" w14:textId="77777777" w:rsidR="00516520" w:rsidRPr="00516520" w:rsidRDefault="00516520" w:rsidP="00D0209A">
      <w:pPr>
        <w:tabs>
          <w:tab w:val="left" w:pos="2694"/>
        </w:tabs>
        <w:spacing w:before="60" w:after="60" w:line="276" w:lineRule="auto"/>
        <w:jc w:val="both"/>
        <w:rPr>
          <w:rFonts w:ascii="Trebuchet MS" w:hAnsi="Trebuchet MS" w:cs="Arial"/>
          <w:sz w:val="20"/>
          <w:szCs w:val="20"/>
        </w:rPr>
      </w:pPr>
      <w:r w:rsidRPr="00516520">
        <w:rPr>
          <w:rFonts w:ascii="Trebuchet MS" w:hAnsi="Trebuchet MS" w:cs="Arial"/>
          <w:sz w:val="20"/>
          <w:szCs w:val="20"/>
        </w:rPr>
        <w:t>17. PLIG (Polsko-Luksemburska Izba Gospodarcza)</w:t>
      </w:r>
    </w:p>
    <w:p w14:paraId="336E046B" w14:textId="77777777" w:rsidR="00516520" w:rsidRPr="00516520" w:rsidRDefault="00516520" w:rsidP="00C904DE">
      <w:pPr>
        <w:spacing w:line="360" w:lineRule="auto"/>
        <w:jc w:val="both"/>
        <w:rPr>
          <w:rFonts w:ascii="Trebuchet MS" w:hAnsi="Trebuchet MS" w:cs="Arial"/>
          <w:sz w:val="20"/>
          <w:szCs w:val="20"/>
        </w:rPr>
      </w:pPr>
    </w:p>
    <w:p w14:paraId="1EAC4794" w14:textId="77777777" w:rsidR="00516520" w:rsidRDefault="00516520" w:rsidP="00C904DE">
      <w:pPr>
        <w:spacing w:line="360" w:lineRule="auto"/>
        <w:jc w:val="both"/>
        <w:rPr>
          <w:rFonts w:ascii="Trebuchet MS" w:hAnsi="Trebuchet MS" w:cs="Arial"/>
          <w:sz w:val="20"/>
          <w:szCs w:val="20"/>
        </w:rPr>
      </w:pPr>
    </w:p>
    <w:p w14:paraId="731EDAB9" w14:textId="77777777" w:rsidR="00D0209A" w:rsidRDefault="00D0209A" w:rsidP="00C904DE">
      <w:pPr>
        <w:spacing w:line="360" w:lineRule="auto"/>
        <w:jc w:val="both"/>
        <w:rPr>
          <w:rFonts w:ascii="Trebuchet MS" w:hAnsi="Trebuchet MS" w:cs="Arial"/>
          <w:sz w:val="20"/>
          <w:szCs w:val="20"/>
        </w:rPr>
      </w:pPr>
    </w:p>
    <w:p w14:paraId="01B9E1D3" w14:textId="77777777" w:rsidR="00D0209A" w:rsidRPr="00516520" w:rsidRDefault="00D0209A" w:rsidP="00C904DE">
      <w:pPr>
        <w:spacing w:line="360" w:lineRule="auto"/>
        <w:jc w:val="both"/>
        <w:rPr>
          <w:rFonts w:ascii="Trebuchet MS" w:hAnsi="Trebuchet MS" w:cs="Arial"/>
          <w:sz w:val="20"/>
          <w:szCs w:val="20"/>
        </w:rPr>
      </w:pPr>
    </w:p>
    <w:p w14:paraId="5242AFE9" w14:textId="77777777" w:rsidR="00516520" w:rsidRPr="00516520" w:rsidRDefault="00516520" w:rsidP="00C904DE">
      <w:pPr>
        <w:spacing w:line="360" w:lineRule="auto"/>
        <w:jc w:val="both"/>
        <w:rPr>
          <w:rFonts w:ascii="Trebuchet MS" w:hAnsi="Trebuchet MS" w:cs="Arial"/>
          <w:sz w:val="20"/>
          <w:szCs w:val="20"/>
        </w:rPr>
      </w:pPr>
    </w:p>
    <w:p w14:paraId="118B4886" w14:textId="0B5834AE" w:rsidR="00E838F9" w:rsidRPr="00ED4925" w:rsidRDefault="00516520" w:rsidP="00C904DE">
      <w:pPr>
        <w:pStyle w:val="Akapitzlist"/>
        <w:numPr>
          <w:ilvl w:val="0"/>
          <w:numId w:val="12"/>
        </w:numPr>
        <w:spacing w:line="360" w:lineRule="auto"/>
        <w:jc w:val="center"/>
        <w:rPr>
          <w:rFonts w:ascii="Trebuchet MS" w:hAnsi="Trebuchet MS" w:cs="Arial"/>
          <w:b/>
          <w:sz w:val="24"/>
          <w:szCs w:val="24"/>
        </w:rPr>
      </w:pPr>
      <w:r w:rsidRPr="00ED4925">
        <w:rPr>
          <w:rFonts w:ascii="Trebuchet MS" w:hAnsi="Trebuchet MS" w:cs="Arial"/>
          <w:b/>
          <w:sz w:val="24"/>
          <w:szCs w:val="24"/>
        </w:rPr>
        <w:lastRenderedPageBreak/>
        <w:t>UWAGI DO PROJEKTU W ZAKRESIE PODATKU U ŹRÓDŁA, A TAKŻE POSTULATY W ZAKRESIE DALSZYCH ZMIAN W TYM OBSZARZE.</w:t>
      </w:r>
    </w:p>
    <w:p w14:paraId="74D563A0" w14:textId="77777777" w:rsidR="00516520" w:rsidRPr="00516520" w:rsidRDefault="00516520" w:rsidP="00C904DE">
      <w:pPr>
        <w:spacing w:line="360" w:lineRule="auto"/>
        <w:jc w:val="center"/>
        <w:rPr>
          <w:rFonts w:ascii="Trebuchet MS" w:hAnsi="Trebuchet MS" w:cs="Arial"/>
          <w:b/>
          <w:sz w:val="20"/>
          <w:szCs w:val="20"/>
        </w:rPr>
      </w:pPr>
    </w:p>
    <w:p w14:paraId="1AFC6634" w14:textId="5769EF98" w:rsidR="005817C7" w:rsidRPr="00516520" w:rsidRDefault="004965DC" w:rsidP="00C904DE">
      <w:pPr>
        <w:pStyle w:val="Akapitzlist"/>
        <w:numPr>
          <w:ilvl w:val="0"/>
          <w:numId w:val="4"/>
        </w:numPr>
        <w:spacing w:line="360" w:lineRule="auto"/>
        <w:ind w:left="284" w:hanging="284"/>
        <w:jc w:val="both"/>
        <w:rPr>
          <w:rFonts w:ascii="Trebuchet MS" w:hAnsi="Trebuchet MS" w:cs="Arial"/>
          <w:b/>
          <w:bCs/>
          <w:sz w:val="20"/>
          <w:szCs w:val="20"/>
        </w:rPr>
      </w:pPr>
      <w:r w:rsidRPr="00516520">
        <w:rPr>
          <w:rFonts w:ascii="Trebuchet MS" w:hAnsi="Trebuchet MS" w:cs="Arial"/>
          <w:b/>
          <w:bCs/>
          <w:sz w:val="20"/>
          <w:szCs w:val="20"/>
        </w:rPr>
        <w:t xml:space="preserve">Uwagi </w:t>
      </w:r>
      <w:r w:rsidR="006E3435" w:rsidRPr="00516520">
        <w:rPr>
          <w:rFonts w:ascii="Trebuchet MS" w:hAnsi="Trebuchet MS" w:cs="Arial"/>
          <w:b/>
          <w:bCs/>
          <w:sz w:val="20"/>
          <w:szCs w:val="20"/>
        </w:rPr>
        <w:t xml:space="preserve">szczegółowe </w:t>
      </w:r>
      <w:r w:rsidR="00E0438E" w:rsidRPr="00516520">
        <w:rPr>
          <w:rFonts w:ascii="Trebuchet MS" w:hAnsi="Trebuchet MS" w:cs="Arial"/>
          <w:b/>
          <w:bCs/>
          <w:sz w:val="20"/>
          <w:szCs w:val="20"/>
        </w:rPr>
        <w:t>do Projektu</w:t>
      </w:r>
    </w:p>
    <w:p w14:paraId="1F48AF9D" w14:textId="3BD81034" w:rsidR="004965DC" w:rsidRPr="00516520" w:rsidRDefault="005817C7" w:rsidP="00C904DE">
      <w:pPr>
        <w:pStyle w:val="Akapitzlist"/>
        <w:numPr>
          <w:ilvl w:val="0"/>
          <w:numId w:val="1"/>
        </w:numPr>
        <w:spacing w:line="360" w:lineRule="auto"/>
        <w:ind w:left="284" w:hanging="284"/>
        <w:jc w:val="both"/>
        <w:rPr>
          <w:rFonts w:ascii="Trebuchet MS" w:hAnsi="Trebuchet MS" w:cs="Arial"/>
          <w:b/>
          <w:bCs/>
          <w:sz w:val="20"/>
          <w:szCs w:val="20"/>
        </w:rPr>
      </w:pPr>
      <w:r w:rsidRPr="00516520">
        <w:rPr>
          <w:rFonts w:ascii="Trebuchet MS" w:hAnsi="Trebuchet MS" w:cs="Arial"/>
          <w:b/>
          <w:bCs/>
          <w:sz w:val="20"/>
          <w:szCs w:val="20"/>
        </w:rPr>
        <w:t>Z</w:t>
      </w:r>
      <w:r w:rsidR="006E3435" w:rsidRPr="00516520">
        <w:rPr>
          <w:rFonts w:ascii="Trebuchet MS" w:hAnsi="Trebuchet MS" w:cs="Arial"/>
          <w:b/>
          <w:bCs/>
          <w:sz w:val="20"/>
          <w:szCs w:val="20"/>
        </w:rPr>
        <w:t>mi</w:t>
      </w:r>
      <w:r w:rsidR="002C2220" w:rsidRPr="00516520">
        <w:rPr>
          <w:rFonts w:ascii="Trebuchet MS" w:hAnsi="Trebuchet MS" w:cs="Arial"/>
          <w:b/>
          <w:bCs/>
          <w:sz w:val="20"/>
          <w:szCs w:val="20"/>
        </w:rPr>
        <w:t>any w zakresie art. 26 ust</w:t>
      </w:r>
      <w:r w:rsidR="00E0438E" w:rsidRPr="00516520">
        <w:rPr>
          <w:rFonts w:ascii="Trebuchet MS" w:hAnsi="Trebuchet MS" w:cs="Arial"/>
          <w:b/>
          <w:bCs/>
          <w:sz w:val="20"/>
          <w:szCs w:val="20"/>
        </w:rPr>
        <w:t>.</w:t>
      </w:r>
      <w:r w:rsidR="002C2220" w:rsidRPr="00516520">
        <w:rPr>
          <w:rFonts w:ascii="Trebuchet MS" w:hAnsi="Trebuchet MS" w:cs="Arial"/>
          <w:b/>
          <w:bCs/>
          <w:sz w:val="20"/>
          <w:szCs w:val="20"/>
        </w:rPr>
        <w:t xml:space="preserve"> 7f oraz 7g</w:t>
      </w:r>
      <w:r w:rsidRPr="00516520">
        <w:rPr>
          <w:rFonts w:ascii="Trebuchet MS" w:hAnsi="Trebuchet MS" w:cs="Arial"/>
          <w:b/>
          <w:bCs/>
          <w:sz w:val="20"/>
          <w:szCs w:val="20"/>
        </w:rPr>
        <w:t xml:space="preserve"> ustawy o CIT</w:t>
      </w:r>
    </w:p>
    <w:p w14:paraId="710F8BBD" w14:textId="3F64E051" w:rsidR="005817C7" w:rsidRPr="00516520" w:rsidRDefault="005817C7" w:rsidP="00C904DE">
      <w:pPr>
        <w:spacing w:line="360" w:lineRule="auto"/>
        <w:jc w:val="both"/>
        <w:rPr>
          <w:rFonts w:ascii="Trebuchet MS" w:hAnsi="Trebuchet MS" w:cs="Arial"/>
          <w:sz w:val="20"/>
          <w:szCs w:val="20"/>
        </w:rPr>
      </w:pPr>
      <w:r w:rsidRPr="00516520">
        <w:rPr>
          <w:rFonts w:ascii="Trebuchet MS" w:hAnsi="Trebuchet MS" w:cs="Arial"/>
          <w:sz w:val="20"/>
          <w:szCs w:val="20"/>
        </w:rPr>
        <w:t>Zgodnie ze proponowaną nowelizacją art. 26 ust. 7f ustawy o CIT, przepis ten ma umożliwić płatnikom korzystanie z tzw. oświadczenia zarządu wskazanego w art. 26 ust. 7a przez okres do końca roku podatkowego w sytuacji gdy płatnik dokonuje na rzecz podatnika dalszych wypłat z tytułów określonych w art. 21 ust.1 pkt 1 ustawy o CIT oraz art. 22 ust. 1 ustawy o CIT po przekroczeniu w roku podatkowym kwoty 2 mln złotych wypłat z ww. tytułów.</w:t>
      </w:r>
    </w:p>
    <w:p w14:paraId="7A3318A7" w14:textId="78B69A16" w:rsidR="005817C7" w:rsidRPr="00516520" w:rsidRDefault="005817C7" w:rsidP="00C904DE">
      <w:pPr>
        <w:spacing w:line="360" w:lineRule="auto"/>
        <w:jc w:val="both"/>
        <w:rPr>
          <w:rFonts w:ascii="Trebuchet MS" w:hAnsi="Trebuchet MS" w:cs="Arial"/>
          <w:sz w:val="20"/>
          <w:szCs w:val="20"/>
        </w:rPr>
      </w:pPr>
      <w:r w:rsidRPr="00516520">
        <w:rPr>
          <w:rFonts w:ascii="Trebuchet MS" w:hAnsi="Trebuchet MS" w:cs="Arial"/>
          <w:sz w:val="20"/>
          <w:szCs w:val="20"/>
        </w:rPr>
        <w:t>Warunkiem aby oświadczenie zarządu płatnika było ważne do końca roku podatkowego</w:t>
      </w:r>
      <w:r w:rsidR="00BB7BB2" w:rsidRPr="00516520">
        <w:rPr>
          <w:rFonts w:ascii="Trebuchet MS" w:hAnsi="Trebuchet MS" w:cs="Arial"/>
          <w:sz w:val="20"/>
          <w:szCs w:val="20"/>
        </w:rPr>
        <w:t>,</w:t>
      </w:r>
      <w:r w:rsidRPr="00516520">
        <w:rPr>
          <w:rFonts w:ascii="Trebuchet MS" w:hAnsi="Trebuchet MS" w:cs="Arial"/>
          <w:sz w:val="20"/>
          <w:szCs w:val="20"/>
        </w:rPr>
        <w:t xml:space="preserve"> jest złożenie kolejnego oświadczenia do końca miesiąca następującego po zakończeniu roku podatkowego</w:t>
      </w:r>
      <w:r w:rsidR="002229C1" w:rsidRPr="00516520">
        <w:rPr>
          <w:rFonts w:ascii="Trebuchet MS" w:hAnsi="Trebuchet MS" w:cs="Arial"/>
          <w:sz w:val="20"/>
          <w:szCs w:val="20"/>
        </w:rPr>
        <w:t xml:space="preserve"> </w:t>
      </w:r>
      <w:r w:rsidR="001526B9" w:rsidRPr="00516520">
        <w:rPr>
          <w:rFonts w:ascii="Trebuchet MS" w:hAnsi="Trebuchet MS" w:cs="Arial"/>
          <w:sz w:val="20"/>
          <w:szCs w:val="20"/>
        </w:rPr>
        <w:t>które będzie potwierdzać</w:t>
      </w:r>
      <w:r w:rsidRPr="00516520">
        <w:rPr>
          <w:rFonts w:ascii="Trebuchet MS" w:hAnsi="Trebuchet MS" w:cs="Arial"/>
          <w:sz w:val="20"/>
          <w:szCs w:val="20"/>
        </w:rPr>
        <w:t xml:space="preserve"> iż w momencie dokonywania dalszych wypłat były spełnione warunki formalno-prawne o których mowa w art. 26 ust. 7g ustawy o CIT</w:t>
      </w:r>
      <w:r w:rsidR="001526B9" w:rsidRPr="00516520">
        <w:rPr>
          <w:rFonts w:ascii="Trebuchet MS" w:hAnsi="Trebuchet MS" w:cs="Arial"/>
          <w:sz w:val="20"/>
          <w:szCs w:val="20"/>
        </w:rPr>
        <w:t>.</w:t>
      </w:r>
    </w:p>
    <w:p w14:paraId="0C27BFF4" w14:textId="4B347787" w:rsidR="005817C7" w:rsidRPr="00516520" w:rsidRDefault="005817C7" w:rsidP="00C904DE">
      <w:pPr>
        <w:spacing w:line="360" w:lineRule="auto"/>
        <w:jc w:val="both"/>
        <w:rPr>
          <w:rFonts w:ascii="Trebuchet MS" w:hAnsi="Trebuchet MS" w:cs="Arial"/>
          <w:b/>
          <w:bCs/>
          <w:sz w:val="20"/>
          <w:szCs w:val="20"/>
          <w:u w:val="single"/>
        </w:rPr>
      </w:pPr>
      <w:r w:rsidRPr="00516520">
        <w:rPr>
          <w:rFonts w:ascii="Trebuchet MS" w:hAnsi="Trebuchet MS" w:cs="Arial"/>
          <w:b/>
          <w:bCs/>
          <w:sz w:val="20"/>
          <w:szCs w:val="20"/>
          <w:u w:val="single"/>
        </w:rPr>
        <w:t>Postulaty IGCC w zakresie proponowanych zmian</w:t>
      </w:r>
    </w:p>
    <w:p w14:paraId="36DA49AB" w14:textId="6B94D2FC" w:rsidR="005817C7" w:rsidRPr="00516520" w:rsidRDefault="005817C7" w:rsidP="00C904DE">
      <w:pPr>
        <w:spacing w:line="360" w:lineRule="auto"/>
        <w:jc w:val="both"/>
        <w:rPr>
          <w:rFonts w:ascii="Trebuchet MS" w:hAnsi="Trebuchet MS" w:cs="Arial"/>
          <w:sz w:val="20"/>
          <w:szCs w:val="20"/>
        </w:rPr>
      </w:pPr>
      <w:r w:rsidRPr="00516520">
        <w:rPr>
          <w:rFonts w:ascii="Trebuchet MS" w:hAnsi="Trebuchet MS" w:cs="Arial"/>
          <w:sz w:val="20"/>
          <w:szCs w:val="20"/>
        </w:rPr>
        <w:t xml:space="preserve">W pierwszej kolejności IGCC chce wyrazić aprobatę co do kierunku proponowanych zmian </w:t>
      </w:r>
      <w:r w:rsidR="005A364E" w:rsidRPr="00516520">
        <w:rPr>
          <w:rFonts w:ascii="Trebuchet MS" w:hAnsi="Trebuchet MS" w:cs="Arial"/>
          <w:sz w:val="20"/>
          <w:szCs w:val="20"/>
        </w:rPr>
        <w:t xml:space="preserve">w zakresie ważności oświadczenia zarządu płatnika </w:t>
      </w:r>
      <w:r w:rsidRPr="00516520">
        <w:rPr>
          <w:rFonts w:ascii="Trebuchet MS" w:hAnsi="Trebuchet MS" w:cs="Arial"/>
          <w:sz w:val="20"/>
          <w:szCs w:val="20"/>
        </w:rPr>
        <w:t>– jest to postulat który Izby podnosiły wielokrotnie i mamy nadzieję, że jego wdrożenie zracjonalizuje zakres obciążeń administracyjno-prawnych po stronie płatników.</w:t>
      </w:r>
    </w:p>
    <w:p w14:paraId="1E719C45" w14:textId="0386200B" w:rsidR="005817C7" w:rsidRPr="00516520" w:rsidRDefault="005817C7" w:rsidP="00C904DE">
      <w:pPr>
        <w:spacing w:line="360" w:lineRule="auto"/>
        <w:jc w:val="both"/>
        <w:rPr>
          <w:rFonts w:ascii="Trebuchet MS" w:hAnsi="Trebuchet MS" w:cs="Arial"/>
          <w:b/>
          <w:bCs/>
          <w:sz w:val="20"/>
          <w:szCs w:val="20"/>
        </w:rPr>
      </w:pPr>
      <w:r w:rsidRPr="00516520">
        <w:rPr>
          <w:rFonts w:ascii="Trebuchet MS" w:hAnsi="Trebuchet MS" w:cs="Arial"/>
          <w:b/>
          <w:bCs/>
          <w:sz w:val="20"/>
          <w:szCs w:val="20"/>
        </w:rPr>
        <w:t>Pragniemy jednak  zwrócić uwagę na następujące kwestie:</w:t>
      </w:r>
    </w:p>
    <w:p w14:paraId="7CC8BFD6" w14:textId="2AAF6AB7" w:rsidR="005817C7" w:rsidRPr="00516520" w:rsidRDefault="005817C7" w:rsidP="00C904DE">
      <w:pPr>
        <w:pStyle w:val="Akapitzlist"/>
        <w:numPr>
          <w:ilvl w:val="0"/>
          <w:numId w:val="2"/>
        </w:numPr>
        <w:spacing w:line="360" w:lineRule="auto"/>
        <w:ind w:left="284" w:hanging="284"/>
        <w:jc w:val="both"/>
        <w:rPr>
          <w:rFonts w:ascii="Trebuchet MS" w:hAnsi="Trebuchet MS" w:cs="Arial"/>
          <w:sz w:val="20"/>
          <w:szCs w:val="20"/>
        </w:rPr>
      </w:pPr>
      <w:r w:rsidRPr="00516520">
        <w:rPr>
          <w:rFonts w:ascii="Trebuchet MS" w:hAnsi="Trebuchet MS" w:cs="Arial"/>
          <w:b/>
          <w:bCs/>
          <w:sz w:val="20"/>
          <w:szCs w:val="20"/>
        </w:rPr>
        <w:t>Wejście w życie zmiany</w:t>
      </w:r>
      <w:r w:rsidRPr="00516520">
        <w:rPr>
          <w:rFonts w:ascii="Trebuchet MS" w:hAnsi="Trebuchet MS" w:cs="Arial"/>
          <w:sz w:val="20"/>
          <w:szCs w:val="20"/>
        </w:rPr>
        <w:t xml:space="preserve"> – zgodnie z art. 9 ust. 2 Projektu, znowelizowane przepisy art. 26 ust. 7f oraz ust 7g ustawy o CIT będą mieć zastosowanie do wypłat należności dokonywanych po 31 grudnia 2022 roku. </w:t>
      </w:r>
      <w:r w:rsidRPr="00516520">
        <w:rPr>
          <w:rFonts w:ascii="Trebuchet MS" w:hAnsi="Trebuchet MS" w:cs="Arial"/>
          <w:b/>
          <w:bCs/>
          <w:sz w:val="20"/>
          <w:szCs w:val="20"/>
        </w:rPr>
        <w:t xml:space="preserve">Tym samym proponowana nowelizacja nie rozwiązuje problemów, które Izby sygnalizowały w trakcie spotkań z Ministerstwem Finansów w dniu </w:t>
      </w:r>
      <w:r w:rsidR="003308FD" w:rsidRPr="00516520">
        <w:rPr>
          <w:rFonts w:ascii="Trebuchet MS" w:hAnsi="Trebuchet MS" w:cs="Arial"/>
          <w:b/>
          <w:bCs/>
          <w:sz w:val="20"/>
          <w:szCs w:val="20"/>
        </w:rPr>
        <w:t>20 czerwca 2022 r.</w:t>
      </w:r>
      <w:r w:rsidRPr="00516520">
        <w:rPr>
          <w:rFonts w:ascii="Trebuchet MS" w:hAnsi="Trebuchet MS" w:cs="Arial"/>
          <w:b/>
          <w:bCs/>
          <w:sz w:val="20"/>
          <w:szCs w:val="20"/>
        </w:rPr>
        <w:t xml:space="preserve"> a także w drodze pisemnej </w:t>
      </w:r>
      <w:r w:rsidRPr="00516520">
        <w:rPr>
          <w:rFonts w:ascii="Trebuchet MS" w:hAnsi="Trebuchet MS" w:cs="Arial"/>
          <w:sz w:val="20"/>
          <w:szCs w:val="20"/>
        </w:rPr>
        <w:t xml:space="preserve">(pismo z dnia </w:t>
      </w:r>
      <w:r w:rsidR="003308FD" w:rsidRPr="00516520">
        <w:rPr>
          <w:rFonts w:ascii="Trebuchet MS" w:hAnsi="Trebuchet MS" w:cs="Arial"/>
          <w:sz w:val="20"/>
          <w:szCs w:val="20"/>
        </w:rPr>
        <w:t>21 czerwca 2022 r.</w:t>
      </w:r>
      <w:r w:rsidRPr="00516520">
        <w:rPr>
          <w:rFonts w:ascii="Trebuchet MS" w:hAnsi="Trebuchet MS" w:cs="Arial"/>
          <w:sz w:val="20"/>
          <w:szCs w:val="20"/>
        </w:rPr>
        <w:t xml:space="preserve"> dla porządku </w:t>
      </w:r>
      <w:r w:rsidRPr="00516520">
        <w:rPr>
          <w:rFonts w:ascii="Trebuchet MS" w:hAnsi="Trebuchet MS" w:cs="Arial"/>
          <w:sz w:val="20"/>
          <w:szCs w:val="20"/>
          <w:u w:val="single"/>
        </w:rPr>
        <w:t>załączone ponownie</w:t>
      </w:r>
      <w:r w:rsidRPr="00516520">
        <w:rPr>
          <w:rFonts w:ascii="Trebuchet MS" w:hAnsi="Trebuchet MS" w:cs="Arial"/>
          <w:sz w:val="20"/>
          <w:szCs w:val="20"/>
        </w:rPr>
        <w:t xml:space="preserve"> do niniejszego pisma)</w:t>
      </w:r>
      <w:r w:rsidR="003308FD" w:rsidRPr="00516520">
        <w:rPr>
          <w:rFonts w:ascii="Trebuchet MS" w:hAnsi="Trebuchet MS" w:cs="Arial"/>
          <w:sz w:val="20"/>
          <w:szCs w:val="20"/>
        </w:rPr>
        <w:t>.</w:t>
      </w:r>
    </w:p>
    <w:p w14:paraId="15758EA7" w14:textId="661A4918" w:rsidR="005817C7" w:rsidRPr="00516520" w:rsidRDefault="005817C7" w:rsidP="00C904DE">
      <w:pPr>
        <w:spacing w:line="360" w:lineRule="auto"/>
        <w:ind w:left="284"/>
        <w:jc w:val="both"/>
        <w:rPr>
          <w:rFonts w:ascii="Trebuchet MS" w:hAnsi="Trebuchet MS" w:cs="Arial"/>
          <w:sz w:val="20"/>
          <w:szCs w:val="20"/>
        </w:rPr>
      </w:pPr>
      <w:r w:rsidRPr="00516520">
        <w:rPr>
          <w:rFonts w:ascii="Trebuchet MS" w:hAnsi="Trebuchet MS" w:cs="Arial"/>
          <w:sz w:val="20"/>
          <w:szCs w:val="20"/>
        </w:rPr>
        <w:t xml:space="preserve">Jak wskazywaliśmy, płatnicy w rozmowach z Lubelskim Urzędem Skarbowym </w:t>
      </w:r>
      <w:r w:rsidR="002B7A84" w:rsidRPr="00516520">
        <w:rPr>
          <w:rFonts w:ascii="Trebuchet MS" w:hAnsi="Trebuchet MS" w:cs="Arial"/>
          <w:sz w:val="20"/>
          <w:szCs w:val="20"/>
        </w:rPr>
        <w:t>(</w:t>
      </w:r>
      <w:r w:rsidR="002B7A84" w:rsidRPr="00516520">
        <w:rPr>
          <w:rFonts w:ascii="Trebuchet MS" w:hAnsi="Trebuchet MS" w:cs="Arial"/>
          <w:b/>
          <w:bCs/>
          <w:sz w:val="20"/>
          <w:szCs w:val="20"/>
        </w:rPr>
        <w:t>LUS</w:t>
      </w:r>
      <w:r w:rsidR="002B7A84" w:rsidRPr="00516520">
        <w:rPr>
          <w:rFonts w:ascii="Trebuchet MS" w:hAnsi="Trebuchet MS" w:cs="Arial"/>
          <w:sz w:val="20"/>
          <w:szCs w:val="20"/>
        </w:rPr>
        <w:t xml:space="preserve">) </w:t>
      </w:r>
      <w:r w:rsidRPr="00516520">
        <w:rPr>
          <w:rFonts w:ascii="Trebuchet MS" w:hAnsi="Trebuchet MS" w:cs="Arial"/>
          <w:sz w:val="20"/>
          <w:szCs w:val="20"/>
        </w:rPr>
        <w:t xml:space="preserve">spotykają się ze stanowiskiem, iż na gruncie obowiązujących przepisów w ocenie LUS w trakcie roku możliwe jest tylko jednorazowe złożenie oświadczenia podstawowego w zakresie danego podatnika/płatności (a tym samym po upływie ważności tego oświadczenia należy pobierać </w:t>
      </w:r>
      <w:r w:rsidRPr="00516520">
        <w:rPr>
          <w:rFonts w:ascii="Trebuchet MS" w:hAnsi="Trebuchet MS" w:cs="Arial"/>
          <w:sz w:val="20"/>
          <w:szCs w:val="20"/>
        </w:rPr>
        <w:lastRenderedPageBreak/>
        <w:t xml:space="preserve">podatek i występować o jego zwrot). W załączonym piśmie Izby przedstawiły argumentację przemawiająca za </w:t>
      </w:r>
      <w:r w:rsidR="00E0438E" w:rsidRPr="00516520">
        <w:rPr>
          <w:rFonts w:ascii="Trebuchet MS" w:hAnsi="Trebuchet MS" w:cs="Arial"/>
          <w:sz w:val="20"/>
          <w:szCs w:val="20"/>
        </w:rPr>
        <w:t xml:space="preserve">przyjęciem odmiennego </w:t>
      </w:r>
      <w:r w:rsidRPr="00516520">
        <w:rPr>
          <w:rFonts w:ascii="Trebuchet MS" w:hAnsi="Trebuchet MS" w:cs="Arial"/>
          <w:sz w:val="20"/>
          <w:szCs w:val="20"/>
        </w:rPr>
        <w:t xml:space="preserve">podejścia. </w:t>
      </w:r>
    </w:p>
    <w:p w14:paraId="19731B9A" w14:textId="69C772F1" w:rsidR="007C52B0" w:rsidRPr="00516520" w:rsidRDefault="007C52B0" w:rsidP="00C904DE">
      <w:pPr>
        <w:spacing w:line="360" w:lineRule="auto"/>
        <w:ind w:left="284"/>
        <w:jc w:val="both"/>
        <w:rPr>
          <w:rFonts w:ascii="Trebuchet MS" w:hAnsi="Trebuchet MS" w:cs="Arial"/>
          <w:sz w:val="20"/>
          <w:szCs w:val="20"/>
        </w:rPr>
      </w:pPr>
      <w:r w:rsidRPr="00516520">
        <w:rPr>
          <w:rFonts w:ascii="Trebuchet MS" w:hAnsi="Trebuchet MS" w:cs="Arial"/>
          <w:sz w:val="20"/>
          <w:szCs w:val="20"/>
        </w:rPr>
        <w:t xml:space="preserve">Co szczególnie </w:t>
      </w:r>
      <w:r w:rsidR="003A432E" w:rsidRPr="00516520">
        <w:rPr>
          <w:rFonts w:ascii="Trebuchet MS" w:hAnsi="Trebuchet MS" w:cs="Arial"/>
          <w:sz w:val="20"/>
          <w:szCs w:val="20"/>
        </w:rPr>
        <w:t>niepokojące dla IGCC</w:t>
      </w:r>
      <w:r w:rsidRPr="00516520">
        <w:rPr>
          <w:rFonts w:ascii="Trebuchet MS" w:hAnsi="Trebuchet MS" w:cs="Arial"/>
          <w:sz w:val="20"/>
          <w:szCs w:val="20"/>
        </w:rPr>
        <w:t>, analogiczną wykładnię aktualnie obowiązujących przepisów zaprezentowano w uzasadnieniu do Projektu</w:t>
      </w:r>
      <w:r w:rsidR="003A432E" w:rsidRPr="00516520">
        <w:rPr>
          <w:rFonts w:ascii="Trebuchet MS" w:hAnsi="Trebuchet MS" w:cs="Arial"/>
          <w:sz w:val="20"/>
          <w:szCs w:val="20"/>
        </w:rPr>
        <w:t xml:space="preserve"> (a jak wskazuje praktyka, treść uzasadnienia do projektu każdej ustawy nowelizującej choć nie stanowi źródła prawa, to </w:t>
      </w:r>
      <w:r w:rsidR="003B029F" w:rsidRPr="00516520">
        <w:rPr>
          <w:rFonts w:ascii="Trebuchet MS" w:hAnsi="Trebuchet MS" w:cs="Arial"/>
          <w:sz w:val="20"/>
          <w:szCs w:val="20"/>
        </w:rPr>
        <w:t xml:space="preserve">następnie </w:t>
      </w:r>
      <w:r w:rsidR="003A432E" w:rsidRPr="00516520">
        <w:rPr>
          <w:rFonts w:ascii="Trebuchet MS" w:hAnsi="Trebuchet MS" w:cs="Arial"/>
          <w:sz w:val="20"/>
          <w:szCs w:val="20"/>
        </w:rPr>
        <w:t xml:space="preserve">jest stosowana pomocniczo przy wykładni przepisów ustawy), </w:t>
      </w:r>
      <w:r w:rsidRPr="00516520">
        <w:rPr>
          <w:rFonts w:ascii="Trebuchet MS" w:hAnsi="Trebuchet MS" w:cs="Arial"/>
          <w:sz w:val="20"/>
          <w:szCs w:val="20"/>
        </w:rPr>
        <w:t>cyt.:</w:t>
      </w:r>
    </w:p>
    <w:p w14:paraId="6D694444" w14:textId="760510EA" w:rsidR="007C52B0" w:rsidRPr="00516520" w:rsidRDefault="007C52B0" w:rsidP="00C904DE">
      <w:pPr>
        <w:pStyle w:val="Default"/>
        <w:spacing w:line="360" w:lineRule="auto"/>
        <w:ind w:left="284"/>
        <w:jc w:val="both"/>
        <w:rPr>
          <w:rFonts w:ascii="Trebuchet MS" w:hAnsi="Trebuchet MS" w:cs="Arial"/>
          <w:b/>
          <w:bCs/>
          <w:i/>
          <w:iCs/>
          <w:sz w:val="20"/>
          <w:szCs w:val="20"/>
        </w:rPr>
      </w:pPr>
      <w:r w:rsidRPr="00516520">
        <w:rPr>
          <w:rFonts w:ascii="Trebuchet MS" w:hAnsi="Trebuchet MS" w:cs="Arial"/>
          <w:i/>
          <w:iCs/>
          <w:sz w:val="20"/>
          <w:szCs w:val="20"/>
        </w:rPr>
        <w:t xml:space="preserve">„Wskutek zmian zawartych w ustawie z 29 października 2021 r. i ustawie z 9 grudnia 2021 r., które </w:t>
      </w:r>
      <w:r w:rsidRPr="00516520">
        <w:rPr>
          <w:rFonts w:ascii="Trebuchet MS" w:hAnsi="Trebuchet MS" w:cs="Arial"/>
          <w:b/>
          <w:bCs/>
          <w:i/>
          <w:iCs/>
          <w:sz w:val="20"/>
          <w:szCs w:val="20"/>
        </w:rPr>
        <w:t>weszły w życie 1 stycznia 2022 r.</w:t>
      </w:r>
      <w:r w:rsidRPr="00516520">
        <w:rPr>
          <w:rFonts w:ascii="Trebuchet MS" w:hAnsi="Trebuchet MS" w:cs="Arial"/>
          <w:i/>
          <w:iCs/>
          <w:sz w:val="20"/>
          <w:szCs w:val="20"/>
        </w:rPr>
        <w:t xml:space="preserve">, moment złożenia oświadczenia pierwotnego został ustalony w art. 26 ust. 7c ustawy CIT i art. 41 ust. 17 ustawy PIT jako związany z momentem wpłaty pobranego podatku „za miesiąc, w którym doszło do przekroczenia kwoty określonej w [art. 26 ust. 2e ustawy CIT i art. 41 ust. 12 ustawy PIT]” (czyli 2.000.000 złotych z tytułu wypłaty należności na rzecz tego samego podatnika w roku podatkowym płatnika). Zmianom nie uległ natomiast ustalony w art. 26 ust. 7f ustawy CIT i art. 41 ust. 20 ustawy PIT okres, przez który płatnik może stosować preferencje w przypadku dalszych wypłat dla danego podatnika na podstawie oświadczenia pierwotnego, ani termin na złożenie oświadczenia następczego (art. 26 ust. 7g ustawy CIT i art. 41 ust. 21 ustawy PIT). </w:t>
      </w:r>
      <w:r w:rsidRPr="00516520">
        <w:rPr>
          <w:rFonts w:ascii="Trebuchet MS" w:hAnsi="Trebuchet MS" w:cs="Arial"/>
          <w:b/>
          <w:bCs/>
          <w:i/>
          <w:iCs/>
          <w:sz w:val="20"/>
          <w:szCs w:val="20"/>
        </w:rPr>
        <w:t xml:space="preserve">Praktycznym skutkiem tego rozwiązania jest usztywnienie konstrukcji oświadczenia płatnika, które stało się aktem jednorazowym (zarówno oświadczenie pierwotne, jak i następcze), a przez to wyłączającym obowiązek stosowania mechanizmu pay &amp; refund w sumie przez co najwyżej tylko trzy miesiące w roku podatkowym płatnika. </w:t>
      </w:r>
    </w:p>
    <w:p w14:paraId="7A6CDCF6" w14:textId="77777777" w:rsidR="007C52B0" w:rsidRPr="00516520" w:rsidRDefault="007C52B0" w:rsidP="00C904DE">
      <w:pPr>
        <w:pStyle w:val="Default"/>
        <w:spacing w:line="360" w:lineRule="auto"/>
        <w:ind w:left="284"/>
        <w:jc w:val="both"/>
        <w:rPr>
          <w:rFonts w:ascii="Trebuchet MS" w:hAnsi="Trebuchet MS" w:cs="Arial"/>
          <w:i/>
          <w:iCs/>
          <w:sz w:val="20"/>
          <w:szCs w:val="20"/>
        </w:rPr>
      </w:pPr>
    </w:p>
    <w:p w14:paraId="3D65B7BD" w14:textId="77777777" w:rsidR="007C52B0" w:rsidRPr="00516520" w:rsidRDefault="007C52B0" w:rsidP="00C904DE">
      <w:pPr>
        <w:spacing w:line="360" w:lineRule="auto"/>
        <w:ind w:left="284"/>
        <w:jc w:val="both"/>
        <w:rPr>
          <w:rFonts w:ascii="Trebuchet MS" w:hAnsi="Trebuchet MS" w:cs="Arial"/>
          <w:i/>
          <w:iCs/>
          <w:sz w:val="20"/>
          <w:szCs w:val="20"/>
        </w:rPr>
      </w:pPr>
      <w:r w:rsidRPr="00516520">
        <w:rPr>
          <w:rFonts w:ascii="Trebuchet MS" w:hAnsi="Trebuchet MS" w:cs="Arial"/>
          <w:b/>
          <w:bCs/>
          <w:i/>
          <w:iCs/>
          <w:sz w:val="20"/>
          <w:szCs w:val="20"/>
        </w:rPr>
        <w:t>W celu złagodzenia tego negatywnego dla płatników i podatników skutku zmian z 2021 r.</w:t>
      </w:r>
      <w:r w:rsidRPr="00516520">
        <w:rPr>
          <w:rFonts w:ascii="Trebuchet MS" w:hAnsi="Trebuchet MS" w:cs="Arial"/>
          <w:i/>
          <w:iCs/>
          <w:sz w:val="20"/>
          <w:szCs w:val="20"/>
        </w:rPr>
        <w:t xml:space="preserve"> i uelastycznienia konstrukcji oświadczenia płatnika proponuje się wydłużenie działania oświadczenia pierwotnego do końca roku podatkowego płatnika (a nie tylko przez dodatkowe dwa miesiące) poprzez odpowiednią zmianę w treści art. 26 ust. 7f ustawy CIT i art. 41 ust. 20 ustawy PIT oraz wynikającą stąd zmianę momentu złożenia oświadczenia następczego: po zakończeniu roku podatkowego, w tym wydłużenie terminu do złożenia do końca miesiąca (art. 26 ust. 7g ustawy CIT i art. 41 ust. 21 ustawy PIT).”</w:t>
      </w:r>
    </w:p>
    <w:p w14:paraId="35568B72" w14:textId="1A40A635" w:rsidR="005817C7" w:rsidRPr="00516520" w:rsidRDefault="005817C7" w:rsidP="00C904DE">
      <w:pPr>
        <w:spacing w:line="360" w:lineRule="auto"/>
        <w:ind w:left="284"/>
        <w:jc w:val="both"/>
        <w:rPr>
          <w:rFonts w:ascii="Trebuchet MS" w:hAnsi="Trebuchet MS" w:cs="Arial"/>
          <w:sz w:val="20"/>
          <w:szCs w:val="20"/>
        </w:rPr>
      </w:pPr>
      <w:r w:rsidRPr="00516520">
        <w:rPr>
          <w:rFonts w:ascii="Trebuchet MS" w:hAnsi="Trebuchet MS" w:cs="Arial"/>
          <w:sz w:val="20"/>
          <w:szCs w:val="20"/>
        </w:rPr>
        <w:t>Biorąc pod uwagę fakt</w:t>
      </w:r>
      <w:r w:rsidR="002B7A84" w:rsidRPr="00516520">
        <w:rPr>
          <w:rFonts w:ascii="Trebuchet MS" w:hAnsi="Trebuchet MS" w:cs="Arial"/>
          <w:sz w:val="20"/>
          <w:szCs w:val="20"/>
        </w:rPr>
        <w:t xml:space="preserve">, </w:t>
      </w:r>
      <w:r w:rsidRPr="00516520">
        <w:rPr>
          <w:rFonts w:ascii="Trebuchet MS" w:hAnsi="Trebuchet MS" w:cs="Arial"/>
          <w:sz w:val="20"/>
          <w:szCs w:val="20"/>
        </w:rPr>
        <w:t xml:space="preserve">iż proponowane zmiany wejdą w życie </w:t>
      </w:r>
      <w:r w:rsidRPr="00516520">
        <w:rPr>
          <w:rFonts w:ascii="Trebuchet MS" w:hAnsi="Trebuchet MS" w:cs="Arial"/>
          <w:b/>
          <w:bCs/>
          <w:sz w:val="20"/>
          <w:szCs w:val="20"/>
        </w:rPr>
        <w:t>dopiero za pół roku</w:t>
      </w:r>
      <w:r w:rsidRPr="00516520">
        <w:rPr>
          <w:rFonts w:ascii="Trebuchet MS" w:hAnsi="Trebuchet MS" w:cs="Arial"/>
          <w:sz w:val="20"/>
          <w:szCs w:val="20"/>
        </w:rPr>
        <w:t>, do tego czasu firmy nie będą miały gwarancji i pewności co do skutków złożonych przez przedstawicieli zarządu oświadczeń</w:t>
      </w:r>
      <w:r w:rsidR="002B7A84" w:rsidRPr="00516520">
        <w:rPr>
          <w:rFonts w:ascii="Trebuchet MS" w:hAnsi="Trebuchet MS" w:cs="Arial"/>
          <w:sz w:val="20"/>
          <w:szCs w:val="20"/>
        </w:rPr>
        <w:t xml:space="preserve"> za rok 2022</w:t>
      </w:r>
      <w:r w:rsidRPr="00516520">
        <w:rPr>
          <w:rFonts w:ascii="Trebuchet MS" w:hAnsi="Trebuchet MS" w:cs="Arial"/>
          <w:sz w:val="20"/>
          <w:szCs w:val="20"/>
        </w:rPr>
        <w:t xml:space="preserve">.  W związku z powyższym Izby </w:t>
      </w:r>
      <w:r w:rsidR="003B029F" w:rsidRPr="00516520">
        <w:rPr>
          <w:rFonts w:ascii="Trebuchet MS" w:hAnsi="Trebuchet MS" w:cs="Arial"/>
          <w:sz w:val="20"/>
          <w:szCs w:val="20"/>
        </w:rPr>
        <w:t xml:space="preserve">postulują aby skorygować uzasadnienie do Projektu oraz </w:t>
      </w:r>
      <w:r w:rsidRPr="00516520">
        <w:rPr>
          <w:rFonts w:ascii="Trebuchet MS" w:hAnsi="Trebuchet MS" w:cs="Arial"/>
          <w:sz w:val="20"/>
          <w:szCs w:val="20"/>
        </w:rPr>
        <w:t xml:space="preserve">podtrzymują wskazane w piśmie postulaty co do: </w:t>
      </w:r>
    </w:p>
    <w:p w14:paraId="7A210873" w14:textId="049CEAA1" w:rsidR="005817C7" w:rsidRPr="00516520" w:rsidRDefault="00E0438E" w:rsidP="00C904DE">
      <w:pPr>
        <w:pStyle w:val="Akapitzlist"/>
        <w:numPr>
          <w:ilvl w:val="0"/>
          <w:numId w:val="6"/>
        </w:numPr>
        <w:spacing w:line="360" w:lineRule="auto"/>
        <w:jc w:val="both"/>
        <w:rPr>
          <w:rFonts w:ascii="Trebuchet MS" w:hAnsi="Trebuchet MS" w:cs="Arial"/>
          <w:sz w:val="20"/>
          <w:szCs w:val="20"/>
        </w:rPr>
      </w:pPr>
      <w:r w:rsidRPr="00516520">
        <w:rPr>
          <w:rFonts w:ascii="Trebuchet MS" w:hAnsi="Trebuchet MS" w:cs="Arial"/>
          <w:b/>
          <w:bCs/>
          <w:sz w:val="20"/>
          <w:szCs w:val="20"/>
        </w:rPr>
        <w:t>w</w:t>
      </w:r>
      <w:r w:rsidR="005817C7" w:rsidRPr="00516520">
        <w:rPr>
          <w:rFonts w:ascii="Trebuchet MS" w:hAnsi="Trebuchet MS" w:cs="Arial"/>
          <w:b/>
          <w:bCs/>
          <w:sz w:val="20"/>
          <w:szCs w:val="20"/>
        </w:rPr>
        <w:t>ydania w trybie pilnym przez Ministerstwo Finansów syntetycznych objaśnień</w:t>
      </w:r>
      <w:r w:rsidR="005817C7" w:rsidRPr="00516520">
        <w:rPr>
          <w:rFonts w:ascii="Trebuchet MS" w:hAnsi="Trebuchet MS" w:cs="Arial"/>
          <w:sz w:val="20"/>
          <w:szCs w:val="20"/>
        </w:rPr>
        <w:t xml:space="preserve"> do obecnie obowiązujących przepisów, które wskazywałyby iż art. 26 ust. 7a ustawy o CIT powinien być traktowany jako zasada nadrzędna, zaś art. 26 ust. 7c i 7f nie przesądzają o braku możliwości złożenia kolejnych oświadczeń zarządu płatnika w odniesieniu do dalszych wypłat należności dokonywanych po złożeniu oświadczenia głównego (tj. za miesiąc przekroczenia kwoty 2 mln złotych). </w:t>
      </w:r>
    </w:p>
    <w:p w14:paraId="5EA3CF9D" w14:textId="5B12F6B7" w:rsidR="005817C7" w:rsidRPr="00516520" w:rsidRDefault="007A02C1" w:rsidP="00C904DE">
      <w:pPr>
        <w:spacing w:line="360" w:lineRule="auto"/>
        <w:jc w:val="both"/>
        <w:rPr>
          <w:rFonts w:ascii="Trebuchet MS" w:hAnsi="Trebuchet MS" w:cs="Arial"/>
          <w:sz w:val="20"/>
          <w:szCs w:val="20"/>
        </w:rPr>
      </w:pPr>
      <w:r w:rsidRPr="00516520">
        <w:rPr>
          <w:rFonts w:ascii="Trebuchet MS" w:hAnsi="Trebuchet MS" w:cs="Arial"/>
          <w:sz w:val="20"/>
          <w:szCs w:val="20"/>
        </w:rPr>
        <w:t>l</w:t>
      </w:r>
      <w:r w:rsidR="005817C7" w:rsidRPr="00516520">
        <w:rPr>
          <w:rFonts w:ascii="Trebuchet MS" w:hAnsi="Trebuchet MS" w:cs="Arial"/>
          <w:sz w:val="20"/>
          <w:szCs w:val="20"/>
        </w:rPr>
        <w:t>ub (gdyby wydanie objaśnień miało być procesem zbyt długotrwałym)</w:t>
      </w:r>
    </w:p>
    <w:p w14:paraId="4D60B2DB" w14:textId="77777777" w:rsidR="005817C7" w:rsidRPr="00516520" w:rsidRDefault="005817C7" w:rsidP="00C904DE">
      <w:pPr>
        <w:pStyle w:val="Akapitzlist"/>
        <w:spacing w:line="360" w:lineRule="auto"/>
        <w:jc w:val="both"/>
        <w:rPr>
          <w:rFonts w:ascii="Trebuchet MS" w:hAnsi="Trebuchet MS" w:cs="Arial"/>
          <w:sz w:val="20"/>
          <w:szCs w:val="20"/>
        </w:rPr>
      </w:pPr>
    </w:p>
    <w:p w14:paraId="7525613C" w14:textId="6CAAF846" w:rsidR="008A59C2" w:rsidRPr="00516520" w:rsidRDefault="007A02C1" w:rsidP="00C904DE">
      <w:pPr>
        <w:pStyle w:val="Akapitzlist"/>
        <w:numPr>
          <w:ilvl w:val="0"/>
          <w:numId w:val="6"/>
        </w:numPr>
        <w:spacing w:line="360" w:lineRule="auto"/>
        <w:jc w:val="both"/>
        <w:rPr>
          <w:rFonts w:ascii="Trebuchet MS" w:hAnsi="Trebuchet MS" w:cs="Arial"/>
          <w:sz w:val="20"/>
          <w:szCs w:val="20"/>
        </w:rPr>
      </w:pPr>
      <w:r w:rsidRPr="00516520">
        <w:rPr>
          <w:rFonts w:ascii="Trebuchet MS" w:hAnsi="Trebuchet MS" w:cs="Arial"/>
          <w:b/>
          <w:bCs/>
          <w:sz w:val="20"/>
          <w:szCs w:val="20"/>
        </w:rPr>
        <w:t>w</w:t>
      </w:r>
      <w:r w:rsidR="005817C7" w:rsidRPr="00516520">
        <w:rPr>
          <w:rFonts w:ascii="Trebuchet MS" w:hAnsi="Trebuchet MS" w:cs="Arial"/>
          <w:b/>
          <w:bCs/>
          <w:sz w:val="20"/>
          <w:szCs w:val="20"/>
        </w:rPr>
        <w:t>ydani</w:t>
      </w:r>
      <w:r w:rsidR="00E0438E" w:rsidRPr="00516520">
        <w:rPr>
          <w:rFonts w:ascii="Trebuchet MS" w:hAnsi="Trebuchet MS" w:cs="Arial"/>
          <w:b/>
          <w:bCs/>
          <w:sz w:val="20"/>
          <w:szCs w:val="20"/>
        </w:rPr>
        <w:t>a</w:t>
      </w:r>
      <w:r w:rsidR="005817C7" w:rsidRPr="00516520">
        <w:rPr>
          <w:rFonts w:ascii="Trebuchet MS" w:hAnsi="Trebuchet MS" w:cs="Arial"/>
          <w:b/>
          <w:bCs/>
          <w:sz w:val="20"/>
          <w:szCs w:val="20"/>
        </w:rPr>
        <w:t xml:space="preserve"> stosownego rozporządzenia Ministra Finansów</w:t>
      </w:r>
      <w:r w:rsidR="005817C7" w:rsidRPr="00516520">
        <w:rPr>
          <w:rFonts w:ascii="Trebuchet MS" w:hAnsi="Trebuchet MS" w:cs="Arial"/>
          <w:sz w:val="20"/>
          <w:szCs w:val="20"/>
        </w:rPr>
        <w:t>, które umożliwi realizację wyżej wskazanego postulatu (np. poprzez zaniechanie poboru podatku po złożeniu oświadczenia podstawowego)</w:t>
      </w:r>
      <w:r w:rsidR="00E0438E" w:rsidRPr="00516520">
        <w:rPr>
          <w:rFonts w:ascii="Trebuchet MS" w:hAnsi="Trebuchet MS" w:cs="Arial"/>
          <w:sz w:val="20"/>
          <w:szCs w:val="20"/>
        </w:rPr>
        <w:t>. J</w:t>
      </w:r>
      <w:r w:rsidR="005817C7" w:rsidRPr="00516520">
        <w:rPr>
          <w:rFonts w:ascii="Trebuchet MS" w:hAnsi="Trebuchet MS" w:cs="Arial"/>
          <w:sz w:val="20"/>
          <w:szCs w:val="20"/>
        </w:rPr>
        <w:t xml:space="preserve">ak rozumiemy pomysł rozporządzenia był już analizowany w Ministerstwie Finansów na wysokim stopniu zaawansowania zaś stosowna delegacja mogłaby w tym zakresie wynikać bądź z przepisów Ordynacji Podatkowej bądź z przepisów ustawy o CIT. </w:t>
      </w:r>
    </w:p>
    <w:p w14:paraId="23E2ECB8" w14:textId="77777777" w:rsidR="008A59C2" w:rsidRPr="00516520" w:rsidRDefault="008A59C2" w:rsidP="00C904DE">
      <w:pPr>
        <w:pStyle w:val="Akapitzlist"/>
        <w:spacing w:line="360" w:lineRule="auto"/>
        <w:ind w:left="1068"/>
        <w:jc w:val="both"/>
        <w:rPr>
          <w:rFonts w:ascii="Trebuchet MS" w:hAnsi="Trebuchet MS" w:cs="Arial"/>
          <w:b/>
          <w:bCs/>
          <w:sz w:val="20"/>
          <w:szCs w:val="20"/>
        </w:rPr>
      </w:pPr>
    </w:p>
    <w:p w14:paraId="11BA649C" w14:textId="36102186" w:rsidR="005817C7" w:rsidRPr="00516520" w:rsidRDefault="005817C7" w:rsidP="00C904DE">
      <w:pPr>
        <w:pStyle w:val="Akapitzlist"/>
        <w:spacing w:line="360" w:lineRule="auto"/>
        <w:ind w:left="1068"/>
        <w:jc w:val="both"/>
        <w:rPr>
          <w:rFonts w:ascii="Trebuchet MS" w:hAnsi="Trebuchet MS" w:cs="Arial"/>
          <w:sz w:val="20"/>
          <w:szCs w:val="20"/>
        </w:rPr>
      </w:pPr>
      <w:r w:rsidRPr="00516520">
        <w:rPr>
          <w:rFonts w:ascii="Trebuchet MS" w:hAnsi="Trebuchet MS" w:cs="Arial"/>
          <w:b/>
          <w:bCs/>
          <w:sz w:val="20"/>
          <w:szCs w:val="20"/>
        </w:rPr>
        <w:t>Aby uniknąć kontrowersji, rozporządzenie powinno mieć moc obowiązującą od 1 stycznia 2022 roku.</w:t>
      </w:r>
    </w:p>
    <w:p w14:paraId="558400F9" w14:textId="3F73670F" w:rsidR="005D401A" w:rsidRPr="00516520" w:rsidRDefault="00E0438E" w:rsidP="00C904DE">
      <w:pPr>
        <w:spacing w:line="360" w:lineRule="auto"/>
        <w:jc w:val="both"/>
        <w:rPr>
          <w:rFonts w:ascii="Trebuchet MS" w:hAnsi="Trebuchet MS" w:cs="Arial"/>
          <w:sz w:val="20"/>
          <w:szCs w:val="20"/>
        </w:rPr>
      </w:pPr>
      <w:r w:rsidRPr="00516520">
        <w:rPr>
          <w:rFonts w:ascii="Trebuchet MS" w:hAnsi="Trebuchet MS" w:cs="Arial"/>
          <w:sz w:val="20"/>
          <w:szCs w:val="20"/>
        </w:rPr>
        <w:t>l</w:t>
      </w:r>
      <w:r w:rsidR="005D401A" w:rsidRPr="00516520">
        <w:rPr>
          <w:rFonts w:ascii="Trebuchet MS" w:hAnsi="Trebuchet MS" w:cs="Arial"/>
          <w:sz w:val="20"/>
          <w:szCs w:val="20"/>
        </w:rPr>
        <w:t>u</w:t>
      </w:r>
      <w:r w:rsidR="003529B2" w:rsidRPr="00516520">
        <w:rPr>
          <w:rFonts w:ascii="Trebuchet MS" w:hAnsi="Trebuchet MS" w:cs="Arial"/>
          <w:sz w:val="20"/>
          <w:szCs w:val="20"/>
        </w:rPr>
        <w:t>b</w:t>
      </w:r>
      <w:r w:rsidRPr="00516520">
        <w:rPr>
          <w:rFonts w:ascii="Trebuchet MS" w:hAnsi="Trebuchet MS" w:cs="Arial"/>
          <w:sz w:val="20"/>
          <w:szCs w:val="20"/>
        </w:rPr>
        <w:t>:</w:t>
      </w:r>
    </w:p>
    <w:p w14:paraId="19B0B205" w14:textId="0C01F046" w:rsidR="008A59C2" w:rsidRPr="00516520" w:rsidRDefault="00934040" w:rsidP="00C904DE">
      <w:pPr>
        <w:pStyle w:val="Akapitzlist"/>
        <w:numPr>
          <w:ilvl w:val="0"/>
          <w:numId w:val="6"/>
        </w:numPr>
        <w:spacing w:line="360" w:lineRule="auto"/>
        <w:jc w:val="both"/>
        <w:rPr>
          <w:rFonts w:ascii="Trebuchet MS" w:hAnsi="Trebuchet MS" w:cs="Arial"/>
          <w:sz w:val="20"/>
          <w:szCs w:val="20"/>
        </w:rPr>
      </w:pPr>
      <w:r w:rsidRPr="00516520">
        <w:rPr>
          <w:rFonts w:ascii="Trebuchet MS" w:hAnsi="Trebuchet MS" w:cs="Arial"/>
          <w:sz w:val="20"/>
          <w:szCs w:val="20"/>
        </w:rPr>
        <w:t>zmian</w:t>
      </w:r>
      <w:r w:rsidR="003529B2" w:rsidRPr="00516520">
        <w:rPr>
          <w:rFonts w:ascii="Trebuchet MS" w:hAnsi="Trebuchet MS" w:cs="Arial"/>
          <w:sz w:val="20"/>
          <w:szCs w:val="20"/>
        </w:rPr>
        <w:t>ę</w:t>
      </w:r>
      <w:r w:rsidR="005817C7" w:rsidRPr="00516520">
        <w:rPr>
          <w:rFonts w:ascii="Trebuchet MS" w:hAnsi="Trebuchet MS" w:cs="Arial"/>
          <w:sz w:val="20"/>
          <w:szCs w:val="20"/>
        </w:rPr>
        <w:t xml:space="preserve"> art. 9 ust. 2 Projektu, tak aby znowelizowane przepisy miały zastosowanie od 1 stycznia 2022 roku i wydłużały ważność złożonych w 2022 roku oświadczeń do końca roku podatkowego w przypadku dokonywania przez płatnika do podatnika dalszych płatności w ciągu 2022 roku.</w:t>
      </w:r>
      <w:r w:rsidR="00646820" w:rsidRPr="00516520">
        <w:rPr>
          <w:rFonts w:ascii="Trebuchet MS" w:hAnsi="Trebuchet MS" w:cs="Arial"/>
          <w:sz w:val="20"/>
          <w:szCs w:val="20"/>
        </w:rPr>
        <w:t xml:space="preserve"> </w:t>
      </w:r>
    </w:p>
    <w:p w14:paraId="5CB3C696" w14:textId="77777777" w:rsidR="008A59C2" w:rsidRPr="00516520" w:rsidRDefault="008A59C2" w:rsidP="00C904DE">
      <w:pPr>
        <w:pStyle w:val="Akapitzlist"/>
        <w:spacing w:line="360" w:lineRule="auto"/>
        <w:ind w:left="1068"/>
        <w:jc w:val="both"/>
        <w:rPr>
          <w:rFonts w:ascii="Trebuchet MS" w:hAnsi="Trebuchet MS" w:cs="Arial"/>
          <w:sz w:val="20"/>
          <w:szCs w:val="20"/>
        </w:rPr>
      </w:pPr>
    </w:p>
    <w:p w14:paraId="37191E50" w14:textId="30793A12" w:rsidR="005817C7" w:rsidRPr="00516520" w:rsidRDefault="00AA7ED8" w:rsidP="00C904DE">
      <w:pPr>
        <w:pStyle w:val="Akapitzlist"/>
        <w:spacing w:line="360" w:lineRule="auto"/>
        <w:ind w:left="1068"/>
        <w:jc w:val="both"/>
        <w:rPr>
          <w:rFonts w:ascii="Trebuchet MS" w:hAnsi="Trebuchet MS" w:cs="Arial"/>
          <w:sz w:val="20"/>
          <w:szCs w:val="20"/>
        </w:rPr>
      </w:pPr>
      <w:r w:rsidRPr="00516520">
        <w:rPr>
          <w:rFonts w:ascii="Trebuchet MS" w:hAnsi="Trebuchet MS" w:cs="Arial"/>
          <w:sz w:val="20"/>
          <w:szCs w:val="20"/>
        </w:rPr>
        <w:t>Dla uniknięcia wątpliwości, w szczególności w sytuacji gdy ze względów ostrożnościowych</w:t>
      </w:r>
      <w:r w:rsidR="00610271" w:rsidRPr="00516520">
        <w:rPr>
          <w:rFonts w:ascii="Trebuchet MS" w:hAnsi="Trebuchet MS" w:cs="Arial"/>
          <w:sz w:val="20"/>
          <w:szCs w:val="20"/>
        </w:rPr>
        <w:t xml:space="preserve"> płatnik w 2022 roku zdecyduje się na uiszczenie podatku u źródła zgodnie z uwagi na </w:t>
      </w:r>
      <w:r w:rsidR="00522F88" w:rsidRPr="00516520">
        <w:rPr>
          <w:rFonts w:ascii="Trebuchet MS" w:hAnsi="Trebuchet MS" w:cs="Arial"/>
          <w:sz w:val="20"/>
          <w:szCs w:val="20"/>
        </w:rPr>
        <w:t xml:space="preserve">ustne wyjaśnienia </w:t>
      </w:r>
      <w:r w:rsidR="00610271" w:rsidRPr="00516520">
        <w:rPr>
          <w:rFonts w:ascii="Trebuchet MS" w:hAnsi="Trebuchet MS" w:cs="Arial"/>
          <w:sz w:val="20"/>
          <w:szCs w:val="20"/>
        </w:rPr>
        <w:t xml:space="preserve">LUS, </w:t>
      </w:r>
      <w:r w:rsidR="005D401A" w:rsidRPr="00516520">
        <w:rPr>
          <w:rFonts w:ascii="Trebuchet MS" w:hAnsi="Trebuchet MS" w:cs="Arial"/>
          <w:sz w:val="20"/>
          <w:szCs w:val="20"/>
        </w:rPr>
        <w:t xml:space="preserve"> sugerujemy również wydanie rozporządzenia</w:t>
      </w:r>
      <w:r w:rsidR="00610271" w:rsidRPr="00516520">
        <w:rPr>
          <w:rFonts w:ascii="Trebuchet MS" w:hAnsi="Trebuchet MS" w:cs="Arial"/>
          <w:sz w:val="20"/>
          <w:szCs w:val="20"/>
        </w:rPr>
        <w:t xml:space="preserve">, które zaniecha poboru podatku u źródła </w:t>
      </w:r>
      <w:r w:rsidR="008A59C2" w:rsidRPr="00516520">
        <w:rPr>
          <w:rFonts w:ascii="Trebuchet MS" w:hAnsi="Trebuchet MS" w:cs="Arial"/>
          <w:sz w:val="20"/>
          <w:szCs w:val="20"/>
        </w:rPr>
        <w:t>na zasadach analogicznych jak w punkcie b powyżej.</w:t>
      </w:r>
    </w:p>
    <w:p w14:paraId="5FEA281F" w14:textId="77777777" w:rsidR="005D401A" w:rsidRPr="00516520" w:rsidRDefault="005D401A" w:rsidP="00C904DE">
      <w:pPr>
        <w:pStyle w:val="Akapitzlist"/>
        <w:spacing w:line="360" w:lineRule="auto"/>
        <w:ind w:left="1068"/>
        <w:jc w:val="both"/>
        <w:rPr>
          <w:rFonts w:ascii="Trebuchet MS" w:hAnsi="Trebuchet MS" w:cs="Arial"/>
          <w:sz w:val="20"/>
          <w:szCs w:val="20"/>
        </w:rPr>
      </w:pPr>
    </w:p>
    <w:p w14:paraId="186C21A6" w14:textId="3E33C0BF" w:rsidR="00676191" w:rsidRPr="00516520" w:rsidRDefault="00D8364A" w:rsidP="00C904DE">
      <w:pPr>
        <w:pStyle w:val="Akapitzlist"/>
        <w:numPr>
          <w:ilvl w:val="0"/>
          <w:numId w:val="2"/>
        </w:numPr>
        <w:spacing w:line="360" w:lineRule="auto"/>
        <w:ind w:left="426" w:hanging="284"/>
        <w:jc w:val="both"/>
        <w:rPr>
          <w:rFonts w:ascii="Trebuchet MS" w:hAnsi="Trebuchet MS" w:cs="Arial"/>
          <w:b/>
          <w:bCs/>
          <w:sz w:val="20"/>
          <w:szCs w:val="20"/>
        </w:rPr>
      </w:pPr>
      <w:r w:rsidRPr="00516520">
        <w:rPr>
          <w:rFonts w:ascii="Trebuchet MS" w:hAnsi="Trebuchet MS" w:cs="Arial"/>
          <w:sz w:val="20"/>
          <w:szCs w:val="20"/>
        </w:rPr>
        <w:t>P</w:t>
      </w:r>
      <w:r w:rsidR="005817C7" w:rsidRPr="00516520">
        <w:rPr>
          <w:rFonts w:ascii="Trebuchet MS" w:hAnsi="Trebuchet MS" w:cs="Arial"/>
          <w:sz w:val="20"/>
          <w:szCs w:val="20"/>
        </w:rPr>
        <w:t>roponowane brzmienie pierwszej części art. 26 ust 7f ustawy o CIT tj. „</w:t>
      </w:r>
      <w:r w:rsidR="005817C7" w:rsidRPr="00516520">
        <w:rPr>
          <w:rFonts w:ascii="Trebuchet MS" w:hAnsi="Trebuchet MS" w:cs="Arial"/>
          <w:i/>
          <w:iCs/>
          <w:sz w:val="20"/>
          <w:szCs w:val="20"/>
        </w:rPr>
        <w:t xml:space="preserve">Jeżeli płatnik złożył oświadczenie, o którym mowa w ust. 7a, a następnie dokonuje na rzecz podatnika, którego dotyczyło to oświadczenie, dalszych wypłat należności z tytułów wymienionych w art. 21 ust. 1 pkt 1 </w:t>
      </w:r>
      <w:r w:rsidR="005817C7" w:rsidRPr="00516520">
        <w:rPr>
          <w:rFonts w:ascii="Trebuchet MS" w:hAnsi="Trebuchet MS" w:cs="Arial"/>
          <w:b/>
          <w:bCs/>
          <w:i/>
          <w:iCs/>
          <w:sz w:val="20"/>
          <w:szCs w:val="20"/>
          <w:u w:val="single"/>
        </w:rPr>
        <w:t>oraz</w:t>
      </w:r>
      <w:r w:rsidR="005817C7" w:rsidRPr="00516520">
        <w:rPr>
          <w:rFonts w:ascii="Trebuchet MS" w:hAnsi="Trebuchet MS" w:cs="Arial"/>
          <w:i/>
          <w:iCs/>
          <w:sz w:val="20"/>
          <w:szCs w:val="20"/>
        </w:rPr>
        <w:t xml:space="preserve"> art. 22 ust. 1</w:t>
      </w:r>
      <w:r w:rsidR="005817C7" w:rsidRPr="00516520">
        <w:rPr>
          <w:rFonts w:ascii="Trebuchet MS" w:hAnsi="Trebuchet MS" w:cs="Arial"/>
          <w:sz w:val="20"/>
          <w:szCs w:val="20"/>
        </w:rPr>
        <w:t xml:space="preserve">” </w:t>
      </w:r>
      <w:r w:rsidR="003529B2" w:rsidRPr="00516520">
        <w:rPr>
          <w:rFonts w:ascii="Trebuchet MS" w:hAnsi="Trebuchet MS" w:cs="Arial"/>
          <w:sz w:val="20"/>
          <w:szCs w:val="20"/>
        </w:rPr>
        <w:t>może sugerować</w:t>
      </w:r>
      <w:r w:rsidR="005817C7" w:rsidRPr="00516520">
        <w:rPr>
          <w:rFonts w:ascii="Trebuchet MS" w:hAnsi="Trebuchet MS" w:cs="Arial"/>
          <w:sz w:val="20"/>
          <w:szCs w:val="20"/>
        </w:rPr>
        <w:t xml:space="preserve"> iż dla skorzystania z oświadczenia jako mechanizmu zabezpieczającego przed stosowaniem art. 26 ust. 2e, płatnik musi wypłacać zarówno należności z tytułów wymienionych w art. 21 ust. 1 pkt 1 jak i art. 22 ust. 1 ustawy o CIT. </w:t>
      </w:r>
    </w:p>
    <w:p w14:paraId="300ACA9C" w14:textId="77777777" w:rsidR="00676191" w:rsidRPr="00516520" w:rsidRDefault="00676191" w:rsidP="00C904DE">
      <w:pPr>
        <w:pStyle w:val="Akapitzlist"/>
        <w:spacing w:line="360" w:lineRule="auto"/>
        <w:ind w:left="284"/>
        <w:jc w:val="both"/>
        <w:rPr>
          <w:rFonts w:ascii="Trebuchet MS" w:hAnsi="Trebuchet MS" w:cs="Arial"/>
          <w:b/>
          <w:bCs/>
          <w:sz w:val="20"/>
          <w:szCs w:val="20"/>
        </w:rPr>
      </w:pPr>
    </w:p>
    <w:p w14:paraId="01C87647" w14:textId="66B8BAE2" w:rsidR="005817C7" w:rsidRPr="00516520" w:rsidRDefault="005817C7" w:rsidP="00C904DE">
      <w:pPr>
        <w:pStyle w:val="Akapitzlist"/>
        <w:spacing w:line="360" w:lineRule="auto"/>
        <w:ind w:left="426"/>
        <w:jc w:val="both"/>
        <w:rPr>
          <w:rFonts w:ascii="Trebuchet MS" w:hAnsi="Trebuchet MS" w:cs="Arial"/>
          <w:b/>
          <w:bCs/>
          <w:sz w:val="20"/>
          <w:szCs w:val="20"/>
        </w:rPr>
      </w:pPr>
      <w:r w:rsidRPr="00516520">
        <w:rPr>
          <w:rFonts w:ascii="Trebuchet MS" w:hAnsi="Trebuchet MS" w:cs="Arial"/>
          <w:b/>
          <w:bCs/>
          <w:sz w:val="20"/>
          <w:szCs w:val="20"/>
        </w:rPr>
        <w:t>Postulujemy o zmianę „oraz” na „lub” w celu zapewnienia iż tytuły wypłat na potrzeby oświadczenia są od siebie niezależne.</w:t>
      </w:r>
      <w:r w:rsidR="00852392" w:rsidRPr="00516520">
        <w:rPr>
          <w:rFonts w:ascii="Trebuchet MS" w:hAnsi="Trebuchet MS" w:cs="Arial"/>
          <w:b/>
          <w:bCs/>
          <w:sz w:val="20"/>
          <w:szCs w:val="20"/>
        </w:rPr>
        <w:t xml:space="preserve"> Z uwagi na fakt iż spójnik „oraz” funkcjonuje również w obecnym brzmieniu przepisów, proponujemy aby zmiana weszła w </w:t>
      </w:r>
      <w:r w:rsidR="00DC5EF7" w:rsidRPr="00516520">
        <w:rPr>
          <w:rFonts w:ascii="Trebuchet MS" w:hAnsi="Trebuchet MS" w:cs="Arial"/>
          <w:b/>
          <w:bCs/>
          <w:sz w:val="20"/>
          <w:szCs w:val="20"/>
        </w:rPr>
        <w:t xml:space="preserve">ww. zakresie weszła w życie o 1 stycznia 2022 r. </w:t>
      </w:r>
    </w:p>
    <w:p w14:paraId="6F3AB5F0" w14:textId="3A62B997" w:rsidR="00722B97" w:rsidRPr="00516520" w:rsidRDefault="00722B97" w:rsidP="00C904DE">
      <w:pPr>
        <w:pStyle w:val="Akapitzlist"/>
        <w:spacing w:line="360" w:lineRule="auto"/>
        <w:ind w:left="284"/>
        <w:jc w:val="both"/>
        <w:rPr>
          <w:rFonts w:ascii="Trebuchet MS" w:hAnsi="Trebuchet MS" w:cs="Arial"/>
          <w:b/>
          <w:bCs/>
          <w:sz w:val="20"/>
          <w:szCs w:val="20"/>
        </w:rPr>
      </w:pPr>
    </w:p>
    <w:p w14:paraId="582505E4" w14:textId="16F94D39" w:rsidR="00F041D6" w:rsidRPr="00516520" w:rsidRDefault="00F041D6" w:rsidP="00C904DE">
      <w:pPr>
        <w:pStyle w:val="Akapitzlist"/>
        <w:numPr>
          <w:ilvl w:val="0"/>
          <w:numId w:val="2"/>
        </w:numPr>
        <w:spacing w:line="360" w:lineRule="auto"/>
        <w:ind w:left="426" w:hanging="284"/>
        <w:jc w:val="both"/>
        <w:rPr>
          <w:rFonts w:ascii="Trebuchet MS" w:hAnsi="Trebuchet MS" w:cs="Arial"/>
          <w:sz w:val="20"/>
          <w:szCs w:val="20"/>
        </w:rPr>
      </w:pPr>
      <w:r w:rsidRPr="00516520">
        <w:rPr>
          <w:rFonts w:ascii="Trebuchet MS" w:hAnsi="Trebuchet MS" w:cs="Arial"/>
          <w:sz w:val="20"/>
          <w:szCs w:val="20"/>
        </w:rPr>
        <w:t>Niejednokrotnie zdarza się, że w terminie przewidzianym w art. 26 ust. 7c ustawy o CIT zarząd spółki nie jest w stanie podpisać oświadczenia mając komfort co do stanu faktycznego / substratu majątkowo-osobowego odbiorcy. Może to przykładowo wynikać z faktu iż płatność dokonywana jest w tym roku na rzecz nowego kontrahenta, ale także z faktu iż 2022 rok jest pierwszym rokiem w którym efektywnie funkcjonuje mechanizm Pay&amp;Refund co przekłada się na brak wykształconych procedur / zaznajomienia kontrahentów z oczekiwaniami polskich organów skarbowych. Jednocześnie z uwagi na grożące sankcje KKS oraz dodatkową 10% sankcję</w:t>
      </w:r>
      <w:r w:rsidR="00522EEA" w:rsidRPr="00516520">
        <w:rPr>
          <w:rFonts w:ascii="Trebuchet MS" w:hAnsi="Trebuchet MS" w:cs="Arial"/>
          <w:sz w:val="20"/>
          <w:szCs w:val="20"/>
        </w:rPr>
        <w:t xml:space="preserve"> podatkową</w:t>
      </w:r>
      <w:r w:rsidRPr="00516520">
        <w:rPr>
          <w:rFonts w:ascii="Trebuchet MS" w:hAnsi="Trebuchet MS" w:cs="Arial"/>
          <w:sz w:val="20"/>
          <w:szCs w:val="20"/>
        </w:rPr>
        <w:t xml:space="preserve">, płatnicy wykazują znaczącą wstrzemięźliwość przed podpisaniem oświadczenia którego nieprawidłowość może mieć dalekosiężne skutki. </w:t>
      </w:r>
    </w:p>
    <w:p w14:paraId="1F5FE149" w14:textId="77777777" w:rsidR="00F041D6" w:rsidRPr="00516520" w:rsidRDefault="00F041D6" w:rsidP="00C904DE">
      <w:pPr>
        <w:pStyle w:val="Akapitzlist"/>
        <w:spacing w:line="360" w:lineRule="auto"/>
        <w:ind w:left="426"/>
        <w:jc w:val="both"/>
        <w:rPr>
          <w:rFonts w:ascii="Trebuchet MS" w:hAnsi="Trebuchet MS" w:cs="Arial"/>
          <w:sz w:val="20"/>
          <w:szCs w:val="20"/>
        </w:rPr>
      </w:pPr>
    </w:p>
    <w:p w14:paraId="3C525EBF" w14:textId="4592D347" w:rsidR="00F041D6" w:rsidRPr="00516520" w:rsidRDefault="00F041D6" w:rsidP="00C904DE">
      <w:pPr>
        <w:pStyle w:val="Akapitzlist"/>
        <w:spacing w:line="360" w:lineRule="auto"/>
        <w:ind w:left="426"/>
        <w:jc w:val="both"/>
        <w:rPr>
          <w:rFonts w:ascii="Trebuchet MS" w:hAnsi="Trebuchet MS" w:cs="Arial"/>
          <w:sz w:val="20"/>
          <w:szCs w:val="20"/>
        </w:rPr>
      </w:pPr>
      <w:r w:rsidRPr="00516520">
        <w:rPr>
          <w:rFonts w:ascii="Trebuchet MS" w:hAnsi="Trebuchet MS" w:cs="Arial"/>
          <w:sz w:val="20"/>
          <w:szCs w:val="20"/>
        </w:rPr>
        <w:t>W ocenie Izb, przewidziany w ustawie o CIT termin na złożenie oświadczenia po przekroczeniu kwoty 2mln złotych jest zbyt krótki od strony procesowej. W praktyce może się zdarzyć, że spółka ma raptem miesiąc na zażądanie, otrzymanie i zweryfikowanie stosownych dokumentów oraz podpisanie oświadczenia (co dodatkowo komplikuje wskazana w punkcie</w:t>
      </w:r>
      <w:r w:rsidR="00522EEA" w:rsidRPr="00516520">
        <w:rPr>
          <w:rFonts w:ascii="Trebuchet MS" w:hAnsi="Trebuchet MS" w:cs="Arial"/>
          <w:sz w:val="20"/>
          <w:szCs w:val="20"/>
        </w:rPr>
        <w:t xml:space="preserve"> II.1.a poniżej</w:t>
      </w:r>
      <w:r w:rsidRPr="00516520">
        <w:rPr>
          <w:rFonts w:ascii="Trebuchet MS" w:hAnsi="Trebuchet MS" w:cs="Arial"/>
          <w:sz w:val="20"/>
          <w:szCs w:val="20"/>
        </w:rPr>
        <w:t xml:space="preserve"> praktyka LUS co do podpisania oświadczenia efektywnie przez wszystkich członków zarządu).</w:t>
      </w:r>
    </w:p>
    <w:p w14:paraId="3F09AC30" w14:textId="77777777" w:rsidR="00F041D6" w:rsidRPr="00516520" w:rsidRDefault="00F041D6" w:rsidP="00C904DE">
      <w:pPr>
        <w:pStyle w:val="Akapitzlist"/>
        <w:spacing w:line="360" w:lineRule="auto"/>
        <w:ind w:left="426"/>
        <w:jc w:val="both"/>
        <w:rPr>
          <w:rFonts w:ascii="Trebuchet MS" w:hAnsi="Trebuchet MS" w:cs="Arial"/>
          <w:sz w:val="20"/>
          <w:szCs w:val="20"/>
        </w:rPr>
      </w:pPr>
    </w:p>
    <w:p w14:paraId="711F8F5E" w14:textId="77777777" w:rsidR="00F041D6" w:rsidRPr="00516520" w:rsidRDefault="00F041D6" w:rsidP="00C904DE">
      <w:pPr>
        <w:pStyle w:val="Akapitzlist"/>
        <w:spacing w:line="360" w:lineRule="auto"/>
        <w:ind w:left="426"/>
        <w:jc w:val="both"/>
        <w:rPr>
          <w:rFonts w:ascii="Trebuchet MS" w:hAnsi="Trebuchet MS" w:cs="Arial"/>
          <w:sz w:val="20"/>
          <w:szCs w:val="20"/>
        </w:rPr>
      </w:pPr>
      <w:r w:rsidRPr="00516520">
        <w:rPr>
          <w:rFonts w:ascii="Trebuchet MS" w:hAnsi="Trebuchet MS" w:cs="Arial"/>
          <w:sz w:val="20"/>
          <w:szCs w:val="20"/>
        </w:rPr>
        <w:t>Stąd Izby postulują o:</w:t>
      </w:r>
    </w:p>
    <w:p w14:paraId="62CBF27F" w14:textId="5B246644" w:rsidR="00F041D6" w:rsidRPr="00516520" w:rsidRDefault="00F041D6" w:rsidP="00C904DE">
      <w:pPr>
        <w:pStyle w:val="Akapitzlist"/>
        <w:numPr>
          <w:ilvl w:val="0"/>
          <w:numId w:val="9"/>
        </w:numPr>
        <w:spacing w:line="360" w:lineRule="auto"/>
        <w:jc w:val="both"/>
        <w:rPr>
          <w:rFonts w:ascii="Trebuchet MS" w:hAnsi="Trebuchet MS" w:cs="Arial"/>
          <w:sz w:val="20"/>
          <w:szCs w:val="20"/>
        </w:rPr>
      </w:pPr>
      <w:r w:rsidRPr="00516520">
        <w:rPr>
          <w:rFonts w:ascii="Trebuchet MS" w:hAnsi="Trebuchet MS" w:cs="Arial"/>
          <w:sz w:val="20"/>
          <w:szCs w:val="20"/>
        </w:rPr>
        <w:t xml:space="preserve">Odroczenie terminu wynikającego z art. 26 ust 7c </w:t>
      </w:r>
      <w:r w:rsidR="00522EEA" w:rsidRPr="00516520">
        <w:rPr>
          <w:rFonts w:ascii="Trebuchet MS" w:hAnsi="Trebuchet MS" w:cs="Arial"/>
          <w:sz w:val="20"/>
          <w:szCs w:val="20"/>
        </w:rPr>
        <w:t xml:space="preserve">ustawy o CIT </w:t>
      </w:r>
      <w:r w:rsidRPr="00516520">
        <w:rPr>
          <w:rFonts w:ascii="Trebuchet MS" w:hAnsi="Trebuchet MS" w:cs="Arial"/>
          <w:sz w:val="20"/>
          <w:szCs w:val="20"/>
        </w:rPr>
        <w:t>do złożenia oświadczenia podstawowego płatnika do końca roku 2022 r. – dla płatników których wypłaty na rzecz kontrahenta nie przekroczyły jeszcze</w:t>
      </w:r>
      <w:r w:rsidR="00522EEA" w:rsidRPr="00516520">
        <w:rPr>
          <w:rFonts w:ascii="Trebuchet MS" w:hAnsi="Trebuchet MS" w:cs="Arial"/>
          <w:sz w:val="20"/>
          <w:szCs w:val="20"/>
        </w:rPr>
        <w:t xml:space="preserve"> w 2022 roku</w:t>
      </w:r>
      <w:r w:rsidRPr="00516520">
        <w:rPr>
          <w:rFonts w:ascii="Trebuchet MS" w:hAnsi="Trebuchet MS" w:cs="Arial"/>
          <w:sz w:val="20"/>
          <w:szCs w:val="20"/>
        </w:rPr>
        <w:t xml:space="preserve"> 2 mln złotych</w:t>
      </w:r>
      <w:r w:rsidR="00522EEA" w:rsidRPr="00516520">
        <w:rPr>
          <w:rFonts w:ascii="Trebuchet MS" w:hAnsi="Trebuchet MS" w:cs="Arial"/>
          <w:sz w:val="20"/>
          <w:szCs w:val="20"/>
        </w:rPr>
        <w:t xml:space="preserve"> oraz</w:t>
      </w:r>
    </w:p>
    <w:p w14:paraId="20FCE2F4" w14:textId="228C2A41" w:rsidR="00AC0921" w:rsidRPr="00516520" w:rsidRDefault="006B7F6B" w:rsidP="00C904DE">
      <w:pPr>
        <w:pStyle w:val="Akapitzlist"/>
        <w:numPr>
          <w:ilvl w:val="0"/>
          <w:numId w:val="9"/>
        </w:numPr>
        <w:spacing w:line="360" w:lineRule="auto"/>
        <w:jc w:val="both"/>
        <w:rPr>
          <w:rFonts w:ascii="Trebuchet MS" w:hAnsi="Trebuchet MS" w:cs="Arial"/>
          <w:sz w:val="20"/>
          <w:szCs w:val="20"/>
        </w:rPr>
      </w:pPr>
      <w:r w:rsidRPr="00516520">
        <w:rPr>
          <w:rFonts w:ascii="Trebuchet MS" w:hAnsi="Trebuchet MS"/>
          <w:sz w:val="20"/>
          <w:szCs w:val="20"/>
        </w:rPr>
        <w:t xml:space="preserve">w przypadku płatności co do których nie zastosowano </w:t>
      </w:r>
      <w:r w:rsidR="009D0F55" w:rsidRPr="00516520">
        <w:rPr>
          <w:rFonts w:ascii="Trebuchet MS" w:hAnsi="Trebuchet MS"/>
          <w:sz w:val="20"/>
          <w:szCs w:val="20"/>
        </w:rPr>
        <w:t>P</w:t>
      </w:r>
      <w:r w:rsidRPr="00516520">
        <w:rPr>
          <w:rFonts w:ascii="Trebuchet MS" w:hAnsi="Trebuchet MS"/>
          <w:sz w:val="20"/>
          <w:szCs w:val="20"/>
        </w:rPr>
        <w:t>ay&amp;</w:t>
      </w:r>
      <w:r w:rsidR="009D0F55" w:rsidRPr="00516520">
        <w:rPr>
          <w:rFonts w:ascii="Trebuchet MS" w:hAnsi="Trebuchet MS"/>
          <w:sz w:val="20"/>
          <w:szCs w:val="20"/>
        </w:rPr>
        <w:t>R</w:t>
      </w:r>
      <w:r w:rsidRPr="00516520">
        <w:rPr>
          <w:rFonts w:ascii="Trebuchet MS" w:hAnsi="Trebuchet MS"/>
          <w:sz w:val="20"/>
          <w:szCs w:val="20"/>
        </w:rPr>
        <w:t>efund mimo przekroczenia progu</w:t>
      </w:r>
      <w:r w:rsidR="001A16E8" w:rsidRPr="00516520">
        <w:rPr>
          <w:rFonts w:ascii="Trebuchet MS" w:hAnsi="Trebuchet MS"/>
          <w:sz w:val="20"/>
          <w:szCs w:val="20"/>
        </w:rPr>
        <w:t xml:space="preserve"> 2 mln -</w:t>
      </w:r>
      <w:r w:rsidRPr="00516520">
        <w:rPr>
          <w:rFonts w:ascii="Trebuchet MS" w:hAnsi="Trebuchet MS"/>
          <w:sz w:val="20"/>
          <w:szCs w:val="20"/>
        </w:rPr>
        <w:t xml:space="preserve"> wydłużenie </w:t>
      </w:r>
      <w:r w:rsidR="001A16E8" w:rsidRPr="00516520">
        <w:rPr>
          <w:rFonts w:ascii="Trebuchet MS" w:hAnsi="Trebuchet MS"/>
          <w:sz w:val="20"/>
          <w:szCs w:val="20"/>
        </w:rPr>
        <w:t xml:space="preserve">do końca roku </w:t>
      </w:r>
      <w:r w:rsidRPr="00516520">
        <w:rPr>
          <w:rFonts w:ascii="Trebuchet MS" w:hAnsi="Trebuchet MS"/>
          <w:sz w:val="20"/>
          <w:szCs w:val="20"/>
        </w:rPr>
        <w:t xml:space="preserve">terminu na złożenie oświadczenia </w:t>
      </w:r>
      <w:r w:rsidR="001A16E8" w:rsidRPr="00516520">
        <w:rPr>
          <w:rFonts w:ascii="Trebuchet MS" w:hAnsi="Trebuchet MS"/>
          <w:sz w:val="20"/>
          <w:szCs w:val="20"/>
        </w:rPr>
        <w:t xml:space="preserve">płatnika a także o </w:t>
      </w:r>
      <w:r w:rsidR="001A16E8" w:rsidRPr="00516520">
        <w:rPr>
          <w:rFonts w:ascii="Trebuchet MS" w:hAnsi="Trebuchet MS" w:cs="Arial"/>
          <w:sz w:val="20"/>
          <w:szCs w:val="20"/>
        </w:rPr>
        <w:t>n</w:t>
      </w:r>
      <w:r w:rsidR="00F041D6" w:rsidRPr="00516520">
        <w:rPr>
          <w:rFonts w:ascii="Trebuchet MS" w:hAnsi="Trebuchet MS" w:cs="Arial"/>
          <w:sz w:val="20"/>
          <w:szCs w:val="20"/>
        </w:rPr>
        <w:t>ie wyciąganie konsekwencji karno-skarbowych oraz zaniechanie poboru podatku za 2022 rok w stosunku do płatników</w:t>
      </w:r>
      <w:r w:rsidR="00E65517" w:rsidRPr="00516520">
        <w:rPr>
          <w:rFonts w:ascii="Trebuchet MS" w:hAnsi="Trebuchet MS" w:cs="Arial"/>
          <w:sz w:val="20"/>
          <w:szCs w:val="20"/>
        </w:rPr>
        <w:t xml:space="preserve"> którzy do końca roku dopełnią obowiązku złożenia oświadczenia</w:t>
      </w:r>
      <w:r w:rsidR="00F041D6" w:rsidRPr="00516520">
        <w:rPr>
          <w:rFonts w:ascii="Trebuchet MS" w:hAnsi="Trebuchet MS" w:cs="Arial"/>
          <w:sz w:val="20"/>
          <w:szCs w:val="20"/>
        </w:rPr>
        <w:t xml:space="preserve">, </w:t>
      </w:r>
      <w:r w:rsidR="00AC0921" w:rsidRPr="00516520">
        <w:rPr>
          <w:rFonts w:ascii="Trebuchet MS" w:hAnsi="Trebuchet MS" w:cs="Arial"/>
          <w:sz w:val="20"/>
          <w:szCs w:val="20"/>
        </w:rPr>
        <w:t>oraz</w:t>
      </w:r>
    </w:p>
    <w:p w14:paraId="6536EDA0" w14:textId="22CA9F21" w:rsidR="00F041D6" w:rsidRPr="00516520" w:rsidRDefault="00AC0921" w:rsidP="00C904DE">
      <w:pPr>
        <w:pStyle w:val="Akapitzlist"/>
        <w:spacing w:line="360" w:lineRule="auto"/>
        <w:ind w:left="1146"/>
        <w:jc w:val="both"/>
        <w:rPr>
          <w:rFonts w:ascii="Trebuchet MS" w:hAnsi="Trebuchet MS" w:cs="Arial"/>
          <w:sz w:val="20"/>
          <w:szCs w:val="20"/>
        </w:rPr>
      </w:pPr>
      <w:r w:rsidRPr="00516520">
        <w:rPr>
          <w:rFonts w:ascii="Trebuchet MS" w:hAnsi="Trebuchet MS"/>
          <w:sz w:val="20"/>
          <w:szCs w:val="20"/>
        </w:rPr>
        <w:t>w</w:t>
      </w:r>
      <w:r w:rsidR="00286FFC" w:rsidRPr="00516520">
        <w:rPr>
          <w:rFonts w:ascii="Trebuchet MS" w:hAnsi="Trebuchet MS"/>
          <w:sz w:val="20"/>
          <w:szCs w:val="20"/>
        </w:rPr>
        <w:t xml:space="preserve"> przypadku w płatników którzy złożyli oświadczenie w terminie jednak z określonych </w:t>
      </w:r>
      <w:r w:rsidR="007B0F4D" w:rsidRPr="00516520">
        <w:rPr>
          <w:rFonts w:ascii="Trebuchet MS" w:hAnsi="Trebuchet MS"/>
          <w:sz w:val="20"/>
          <w:szCs w:val="20"/>
        </w:rPr>
        <w:t xml:space="preserve">powodów złożenie zostanie uznane za nieskuteczne – wydłużenie do końca roku terminu na skuteczne złożenie oświadczenia oraz o </w:t>
      </w:r>
      <w:r w:rsidR="007B0F4D" w:rsidRPr="00516520">
        <w:rPr>
          <w:rFonts w:ascii="Trebuchet MS" w:hAnsi="Trebuchet MS" w:cs="Arial"/>
          <w:sz w:val="20"/>
          <w:szCs w:val="20"/>
        </w:rPr>
        <w:t xml:space="preserve">nie wyciąganie konsekwencji karno-skarbowych oraz zaniechanie poboru podatku za 2022 rok </w:t>
      </w:r>
      <w:r w:rsidR="00880765" w:rsidRPr="00516520">
        <w:rPr>
          <w:rFonts w:ascii="Trebuchet MS" w:hAnsi="Trebuchet MS" w:cs="Arial"/>
          <w:sz w:val="20"/>
          <w:szCs w:val="20"/>
        </w:rPr>
        <w:t>w takiej sytuacji.</w:t>
      </w:r>
    </w:p>
    <w:p w14:paraId="642A56A2" w14:textId="77777777" w:rsidR="00DC5EF7" w:rsidRPr="00516520" w:rsidRDefault="00DC5EF7" w:rsidP="00C904DE">
      <w:pPr>
        <w:pStyle w:val="Akapitzlist"/>
        <w:spacing w:line="360" w:lineRule="auto"/>
        <w:ind w:left="426"/>
        <w:jc w:val="both"/>
        <w:rPr>
          <w:rFonts w:ascii="Trebuchet MS" w:hAnsi="Trebuchet MS" w:cs="Arial"/>
          <w:sz w:val="20"/>
          <w:szCs w:val="20"/>
        </w:rPr>
      </w:pPr>
    </w:p>
    <w:p w14:paraId="0747004D" w14:textId="0211139E" w:rsidR="00F041D6" w:rsidRPr="00516520" w:rsidRDefault="00F041D6" w:rsidP="00C904DE">
      <w:pPr>
        <w:pStyle w:val="Akapitzlist"/>
        <w:spacing w:line="360" w:lineRule="auto"/>
        <w:ind w:left="426"/>
        <w:jc w:val="both"/>
        <w:rPr>
          <w:rFonts w:ascii="Trebuchet MS" w:hAnsi="Trebuchet MS" w:cs="Arial"/>
          <w:sz w:val="20"/>
          <w:szCs w:val="20"/>
        </w:rPr>
      </w:pPr>
      <w:r w:rsidRPr="00516520">
        <w:rPr>
          <w:rFonts w:ascii="Trebuchet MS" w:hAnsi="Trebuchet MS" w:cs="Arial"/>
          <w:sz w:val="20"/>
          <w:szCs w:val="20"/>
        </w:rPr>
        <w:t>W ocenie Izby powyższe mogłoby zostać uregulowane rozporządzeniem w przypadku 2022 roku, zaś w odniesieniu do 2023 roku proponujemy zmianę legislacyjną która wydłuży termin na złożenie oświadczenia podstawowego o co najmniej 2-3 miesiące po zakończeniu miesiąca w którym została przekroczona kwota 2mln złotych</w:t>
      </w:r>
    </w:p>
    <w:p w14:paraId="49E33009" w14:textId="77777777" w:rsidR="00F041D6" w:rsidRPr="00516520" w:rsidRDefault="00F041D6" w:rsidP="00C904DE">
      <w:pPr>
        <w:pStyle w:val="Akapitzlist"/>
        <w:spacing w:line="360" w:lineRule="auto"/>
        <w:ind w:left="426"/>
        <w:jc w:val="both"/>
        <w:rPr>
          <w:rFonts w:ascii="Trebuchet MS" w:hAnsi="Trebuchet MS" w:cs="Arial"/>
          <w:sz w:val="20"/>
          <w:szCs w:val="20"/>
        </w:rPr>
      </w:pPr>
    </w:p>
    <w:p w14:paraId="685F10CB" w14:textId="76520E6F" w:rsidR="00F041D6" w:rsidRPr="00516520" w:rsidRDefault="00F041D6" w:rsidP="00C904DE">
      <w:pPr>
        <w:pStyle w:val="Akapitzlist"/>
        <w:spacing w:line="360" w:lineRule="auto"/>
        <w:ind w:left="426"/>
        <w:jc w:val="both"/>
        <w:rPr>
          <w:rFonts w:ascii="Trebuchet MS" w:hAnsi="Trebuchet MS" w:cs="Arial"/>
          <w:b/>
          <w:bCs/>
          <w:sz w:val="20"/>
          <w:szCs w:val="20"/>
        </w:rPr>
      </w:pPr>
      <w:r w:rsidRPr="00516520">
        <w:rPr>
          <w:rFonts w:ascii="Trebuchet MS" w:hAnsi="Trebuchet MS" w:cs="Arial"/>
          <w:b/>
          <w:bCs/>
          <w:sz w:val="20"/>
          <w:szCs w:val="20"/>
        </w:rPr>
        <w:t>Izby postulują również o ujednolicenie i rzetelne skomunikowanie sposobów które zapewniają skuteczne złożenie oświadczenia płatnika. W szczególności zagwarantowanie iż złożenie oświadczenia przez ePupap oraz e-deklaracje jest tak samo skuteczne.</w:t>
      </w:r>
    </w:p>
    <w:p w14:paraId="2846BF54" w14:textId="3D26C545" w:rsidR="00A27D08" w:rsidRPr="00516520" w:rsidRDefault="00A27D08" w:rsidP="00C904DE">
      <w:pPr>
        <w:pStyle w:val="Akapitzlist"/>
        <w:spacing w:line="360" w:lineRule="auto"/>
        <w:ind w:left="284"/>
        <w:jc w:val="both"/>
        <w:rPr>
          <w:rFonts w:ascii="Trebuchet MS" w:hAnsi="Trebuchet MS" w:cs="Arial"/>
          <w:sz w:val="20"/>
          <w:szCs w:val="20"/>
        </w:rPr>
      </w:pPr>
    </w:p>
    <w:p w14:paraId="1E320512" w14:textId="2EDB3667" w:rsidR="008A59C2" w:rsidRPr="00516520" w:rsidRDefault="008A59C2" w:rsidP="00C904DE">
      <w:pPr>
        <w:pStyle w:val="Akapitzlist"/>
        <w:numPr>
          <w:ilvl w:val="0"/>
          <w:numId w:val="1"/>
        </w:numPr>
        <w:spacing w:line="360" w:lineRule="auto"/>
        <w:ind w:left="284" w:hanging="284"/>
        <w:jc w:val="both"/>
        <w:rPr>
          <w:rFonts w:ascii="Trebuchet MS" w:hAnsi="Trebuchet MS" w:cs="Arial"/>
          <w:b/>
          <w:bCs/>
          <w:sz w:val="20"/>
          <w:szCs w:val="20"/>
        </w:rPr>
      </w:pPr>
      <w:r w:rsidRPr="00516520">
        <w:rPr>
          <w:rFonts w:ascii="Trebuchet MS" w:hAnsi="Trebuchet MS" w:cs="Arial"/>
          <w:b/>
          <w:bCs/>
          <w:sz w:val="20"/>
          <w:szCs w:val="20"/>
        </w:rPr>
        <w:t xml:space="preserve">Usunięcie art. </w:t>
      </w:r>
      <w:r w:rsidR="004B3B9E" w:rsidRPr="00516520">
        <w:rPr>
          <w:rFonts w:ascii="Trebuchet MS" w:hAnsi="Trebuchet MS" w:cs="Arial"/>
          <w:b/>
          <w:bCs/>
          <w:sz w:val="20"/>
          <w:szCs w:val="20"/>
        </w:rPr>
        <w:t>26 ust. 2ec ustawy o CIT</w:t>
      </w:r>
    </w:p>
    <w:p w14:paraId="1F617F3F" w14:textId="4E0AEC24" w:rsidR="00A27D08" w:rsidRPr="00516520" w:rsidRDefault="00E0438E" w:rsidP="00C904DE">
      <w:pPr>
        <w:spacing w:line="360" w:lineRule="auto"/>
        <w:jc w:val="both"/>
        <w:rPr>
          <w:rFonts w:ascii="Trebuchet MS" w:hAnsi="Trebuchet MS" w:cs="Arial"/>
          <w:sz w:val="20"/>
          <w:szCs w:val="20"/>
        </w:rPr>
      </w:pPr>
      <w:r w:rsidRPr="00516520">
        <w:rPr>
          <w:rFonts w:ascii="Trebuchet MS" w:hAnsi="Trebuchet MS" w:cs="Arial"/>
          <w:sz w:val="20"/>
          <w:szCs w:val="20"/>
        </w:rPr>
        <w:t>O</w:t>
      </w:r>
      <w:r w:rsidR="004B3B9E" w:rsidRPr="00516520">
        <w:rPr>
          <w:rFonts w:ascii="Trebuchet MS" w:hAnsi="Trebuchet MS" w:cs="Arial"/>
          <w:sz w:val="20"/>
          <w:szCs w:val="20"/>
        </w:rPr>
        <w:t>d stycznia 2022 roku art</w:t>
      </w:r>
      <w:r w:rsidR="00231F7B" w:rsidRPr="00516520">
        <w:rPr>
          <w:rFonts w:ascii="Trebuchet MS" w:hAnsi="Trebuchet MS" w:cs="Arial"/>
          <w:sz w:val="20"/>
          <w:szCs w:val="20"/>
        </w:rPr>
        <w:t>ykułem</w:t>
      </w:r>
      <w:r w:rsidR="004B3B9E" w:rsidRPr="00516520">
        <w:rPr>
          <w:rFonts w:ascii="Trebuchet MS" w:hAnsi="Trebuchet MS" w:cs="Arial"/>
          <w:sz w:val="20"/>
          <w:szCs w:val="20"/>
        </w:rPr>
        <w:t xml:space="preserve"> 26 ust</w:t>
      </w:r>
      <w:r w:rsidR="00231F7B" w:rsidRPr="00516520">
        <w:rPr>
          <w:rFonts w:ascii="Trebuchet MS" w:hAnsi="Trebuchet MS" w:cs="Arial"/>
          <w:sz w:val="20"/>
          <w:szCs w:val="20"/>
        </w:rPr>
        <w:t>.</w:t>
      </w:r>
      <w:r w:rsidR="004B3B9E" w:rsidRPr="00516520">
        <w:rPr>
          <w:rFonts w:ascii="Trebuchet MS" w:hAnsi="Trebuchet MS" w:cs="Arial"/>
          <w:sz w:val="20"/>
          <w:szCs w:val="20"/>
        </w:rPr>
        <w:t xml:space="preserve"> 2ec ustawy o CIT została wprowadzona</w:t>
      </w:r>
      <w:r w:rsidR="00A27D08" w:rsidRPr="00516520">
        <w:rPr>
          <w:rFonts w:ascii="Trebuchet MS" w:hAnsi="Trebuchet MS" w:cs="Arial"/>
          <w:sz w:val="20"/>
          <w:szCs w:val="20"/>
        </w:rPr>
        <w:t xml:space="preserve"> klauzul</w:t>
      </w:r>
      <w:r w:rsidRPr="00516520">
        <w:rPr>
          <w:rFonts w:ascii="Trebuchet MS" w:hAnsi="Trebuchet MS" w:cs="Arial"/>
          <w:sz w:val="20"/>
          <w:szCs w:val="20"/>
        </w:rPr>
        <w:t>a</w:t>
      </w:r>
      <w:r w:rsidR="00A27D08" w:rsidRPr="00516520">
        <w:rPr>
          <w:rFonts w:ascii="Trebuchet MS" w:hAnsi="Trebuchet MS" w:cs="Arial"/>
          <w:sz w:val="20"/>
          <w:szCs w:val="20"/>
        </w:rPr>
        <w:t xml:space="preserve"> pozwalając</w:t>
      </w:r>
      <w:r w:rsidR="00486A96" w:rsidRPr="00516520">
        <w:rPr>
          <w:rFonts w:ascii="Trebuchet MS" w:hAnsi="Trebuchet MS" w:cs="Arial"/>
          <w:sz w:val="20"/>
          <w:szCs w:val="20"/>
        </w:rPr>
        <w:t>a</w:t>
      </w:r>
      <w:r w:rsidR="00A27D08" w:rsidRPr="00516520">
        <w:rPr>
          <w:rFonts w:ascii="Trebuchet MS" w:hAnsi="Trebuchet MS" w:cs="Arial"/>
          <w:sz w:val="20"/>
          <w:szCs w:val="20"/>
        </w:rPr>
        <w:t xml:space="preserve"> na reklasyfikacje płatności </w:t>
      </w:r>
      <w:r w:rsidR="00F26D6F" w:rsidRPr="00516520">
        <w:rPr>
          <w:rFonts w:ascii="Trebuchet MS" w:hAnsi="Trebuchet MS" w:cs="Arial"/>
          <w:sz w:val="20"/>
          <w:szCs w:val="20"/>
        </w:rPr>
        <w:t xml:space="preserve">na potrzeby mechanizmu Pay&amp;Refund, </w:t>
      </w:r>
      <w:r w:rsidR="00A27D08" w:rsidRPr="00516520">
        <w:rPr>
          <w:rFonts w:ascii="Trebuchet MS" w:hAnsi="Trebuchet MS" w:cs="Arial"/>
          <w:sz w:val="20"/>
          <w:szCs w:val="20"/>
        </w:rPr>
        <w:t xml:space="preserve">które bez ekonomicznego uzasadnienia nie zostały </w:t>
      </w:r>
      <w:r w:rsidR="00231F7B" w:rsidRPr="00516520">
        <w:rPr>
          <w:rFonts w:ascii="Trebuchet MS" w:hAnsi="Trebuchet MS" w:cs="Arial"/>
          <w:sz w:val="20"/>
          <w:szCs w:val="20"/>
        </w:rPr>
        <w:t>uznane za należności z tytułów wymienionych w art. 21 ust. 1 pkt 1 oraz art. 22 ust. 1 ustawy o CIT</w:t>
      </w:r>
      <w:r w:rsidR="00A27D08" w:rsidRPr="00516520">
        <w:rPr>
          <w:rFonts w:ascii="Trebuchet MS" w:hAnsi="Trebuchet MS" w:cs="Arial"/>
          <w:sz w:val="20"/>
          <w:szCs w:val="20"/>
        </w:rPr>
        <w:t xml:space="preserve">. </w:t>
      </w:r>
      <w:r w:rsidR="00F26D6F" w:rsidRPr="00516520">
        <w:rPr>
          <w:rFonts w:ascii="Trebuchet MS" w:hAnsi="Trebuchet MS" w:cs="Arial"/>
          <w:sz w:val="20"/>
          <w:szCs w:val="20"/>
        </w:rPr>
        <w:t>W ocenie Izb</w:t>
      </w:r>
      <w:r w:rsidR="00A27D08" w:rsidRPr="00516520">
        <w:rPr>
          <w:rFonts w:ascii="Trebuchet MS" w:hAnsi="Trebuchet MS" w:cs="Arial"/>
          <w:sz w:val="20"/>
          <w:szCs w:val="20"/>
        </w:rPr>
        <w:t xml:space="preserve"> klauzula </w:t>
      </w:r>
      <w:r w:rsidR="00BF5457" w:rsidRPr="00516520">
        <w:rPr>
          <w:rFonts w:ascii="Trebuchet MS" w:hAnsi="Trebuchet MS" w:cs="Arial"/>
          <w:sz w:val="20"/>
          <w:szCs w:val="20"/>
        </w:rPr>
        <w:t>stanowi zbędn</w:t>
      </w:r>
      <w:r w:rsidRPr="00516520">
        <w:rPr>
          <w:rFonts w:ascii="Trebuchet MS" w:hAnsi="Trebuchet MS" w:cs="Arial"/>
          <w:sz w:val="20"/>
          <w:szCs w:val="20"/>
        </w:rPr>
        <w:t xml:space="preserve">e powielenie </w:t>
      </w:r>
      <w:r w:rsidR="00BF5457" w:rsidRPr="00516520">
        <w:rPr>
          <w:rFonts w:ascii="Trebuchet MS" w:hAnsi="Trebuchet MS" w:cs="Arial"/>
          <w:sz w:val="20"/>
          <w:szCs w:val="20"/>
        </w:rPr>
        <w:t>już istniejących klauzul antyabuzywnych</w:t>
      </w:r>
      <w:r w:rsidR="00486A96" w:rsidRPr="00516520">
        <w:rPr>
          <w:rFonts w:ascii="Trebuchet MS" w:hAnsi="Trebuchet MS" w:cs="Arial"/>
          <w:sz w:val="20"/>
          <w:szCs w:val="20"/>
        </w:rPr>
        <w:t>,</w:t>
      </w:r>
      <w:r w:rsidR="00A27D08" w:rsidRPr="00516520">
        <w:rPr>
          <w:rFonts w:ascii="Trebuchet MS" w:hAnsi="Trebuchet MS" w:cs="Arial"/>
          <w:sz w:val="20"/>
          <w:szCs w:val="20"/>
        </w:rPr>
        <w:t xml:space="preserve">  na gruncie </w:t>
      </w:r>
      <w:r w:rsidR="00BF5457" w:rsidRPr="00516520">
        <w:rPr>
          <w:rFonts w:ascii="Trebuchet MS" w:hAnsi="Trebuchet MS" w:cs="Arial"/>
          <w:sz w:val="20"/>
          <w:szCs w:val="20"/>
        </w:rPr>
        <w:t>których</w:t>
      </w:r>
      <w:r w:rsidR="00A27D08" w:rsidRPr="00516520">
        <w:rPr>
          <w:rFonts w:ascii="Trebuchet MS" w:hAnsi="Trebuchet MS" w:cs="Arial"/>
          <w:sz w:val="20"/>
          <w:szCs w:val="20"/>
        </w:rPr>
        <w:t xml:space="preserve"> organy podatkowe mają możliwość oceny jaki był faktyczny charakter danej płatności i czy w związku z tym powinien podlegać </w:t>
      </w:r>
      <w:r w:rsidRPr="00516520">
        <w:rPr>
          <w:rFonts w:ascii="Trebuchet MS" w:hAnsi="Trebuchet MS" w:cs="Arial"/>
          <w:sz w:val="20"/>
          <w:szCs w:val="20"/>
        </w:rPr>
        <w:t>podatkowi u źródła</w:t>
      </w:r>
      <w:r w:rsidR="00A27D08" w:rsidRPr="00516520">
        <w:rPr>
          <w:rFonts w:ascii="Trebuchet MS" w:hAnsi="Trebuchet MS" w:cs="Arial"/>
          <w:sz w:val="20"/>
          <w:szCs w:val="20"/>
        </w:rPr>
        <w:t xml:space="preserve"> czy nie. </w:t>
      </w:r>
    </w:p>
    <w:p w14:paraId="2B95093B" w14:textId="7D5271F9" w:rsidR="00BF5457" w:rsidRPr="00516520" w:rsidRDefault="00BF5457" w:rsidP="00C904DE">
      <w:pPr>
        <w:spacing w:line="360" w:lineRule="auto"/>
        <w:jc w:val="both"/>
        <w:rPr>
          <w:rFonts w:ascii="Trebuchet MS" w:hAnsi="Trebuchet MS" w:cs="Arial"/>
          <w:b/>
          <w:bCs/>
          <w:sz w:val="20"/>
          <w:szCs w:val="20"/>
        </w:rPr>
      </w:pPr>
      <w:r w:rsidRPr="00516520">
        <w:rPr>
          <w:rFonts w:ascii="Trebuchet MS" w:hAnsi="Trebuchet MS" w:cs="Arial"/>
          <w:b/>
          <w:bCs/>
          <w:sz w:val="20"/>
          <w:szCs w:val="20"/>
        </w:rPr>
        <w:t>W związku z powyższym Izby postulują o usunięcie art. 26 ust. 2ec ustawy o CIT</w:t>
      </w:r>
    </w:p>
    <w:p w14:paraId="5EEB5BF0" w14:textId="170D5D8F" w:rsidR="00BF5457" w:rsidRPr="00516520" w:rsidRDefault="00BF5457" w:rsidP="00C904DE">
      <w:pPr>
        <w:pStyle w:val="Akapitzlist"/>
        <w:numPr>
          <w:ilvl w:val="0"/>
          <w:numId w:val="1"/>
        </w:numPr>
        <w:spacing w:line="360" w:lineRule="auto"/>
        <w:ind w:left="284" w:hanging="284"/>
        <w:jc w:val="both"/>
        <w:rPr>
          <w:rFonts w:ascii="Trebuchet MS" w:hAnsi="Trebuchet MS" w:cs="Arial"/>
          <w:b/>
          <w:bCs/>
          <w:sz w:val="20"/>
          <w:szCs w:val="20"/>
        </w:rPr>
      </w:pPr>
      <w:r w:rsidRPr="00516520">
        <w:rPr>
          <w:rFonts w:ascii="Trebuchet MS" w:hAnsi="Trebuchet MS" w:cs="Arial"/>
          <w:b/>
          <w:bCs/>
          <w:sz w:val="20"/>
          <w:szCs w:val="20"/>
        </w:rPr>
        <w:t>Termin na zwrot podatku w procedurze Pay&amp;Refund</w:t>
      </w:r>
    </w:p>
    <w:p w14:paraId="76CAED1F" w14:textId="5D87334A" w:rsidR="00BF5457" w:rsidRPr="00516520" w:rsidRDefault="00BF5457" w:rsidP="00C904DE">
      <w:pPr>
        <w:spacing w:line="360" w:lineRule="auto"/>
        <w:jc w:val="both"/>
        <w:rPr>
          <w:rFonts w:ascii="Trebuchet MS" w:hAnsi="Trebuchet MS" w:cs="Arial"/>
          <w:sz w:val="20"/>
          <w:szCs w:val="20"/>
        </w:rPr>
      </w:pPr>
      <w:r w:rsidRPr="00516520">
        <w:rPr>
          <w:rFonts w:ascii="Trebuchet MS" w:hAnsi="Trebuchet MS" w:cs="Arial"/>
          <w:sz w:val="20"/>
          <w:szCs w:val="20"/>
        </w:rPr>
        <w:t>Obecne przepisy</w:t>
      </w:r>
      <w:r w:rsidR="00B63F5E" w:rsidRPr="00516520">
        <w:rPr>
          <w:rFonts w:ascii="Trebuchet MS" w:hAnsi="Trebuchet MS" w:cs="Arial"/>
          <w:sz w:val="20"/>
          <w:szCs w:val="20"/>
        </w:rPr>
        <w:t xml:space="preserve"> (art. 28b ustawy o CIT)</w:t>
      </w:r>
      <w:r w:rsidRPr="00516520">
        <w:rPr>
          <w:rFonts w:ascii="Trebuchet MS" w:hAnsi="Trebuchet MS" w:cs="Arial"/>
          <w:sz w:val="20"/>
          <w:szCs w:val="20"/>
        </w:rPr>
        <w:t xml:space="preserve"> przewidują 6 miesięczny termin zwrotu podatku </w:t>
      </w:r>
      <w:r w:rsidR="00DE5482" w:rsidRPr="00516520">
        <w:rPr>
          <w:rFonts w:ascii="Trebuchet MS" w:hAnsi="Trebuchet MS" w:cs="Arial"/>
          <w:sz w:val="20"/>
          <w:szCs w:val="20"/>
        </w:rPr>
        <w:t xml:space="preserve">pobranego w procedurze Pay&amp;Refund. W obliczu aktualnych wyzwań post-pandemicznych a także </w:t>
      </w:r>
      <w:r w:rsidR="00F0224E" w:rsidRPr="00516520">
        <w:rPr>
          <w:rFonts w:ascii="Trebuchet MS" w:hAnsi="Trebuchet MS" w:cs="Arial"/>
          <w:sz w:val="20"/>
          <w:szCs w:val="20"/>
        </w:rPr>
        <w:t>przewidywanych skutków ekonomicznych wojny w Ukrainie, Izby zwracają się z prośba o usprawnieni</w:t>
      </w:r>
      <w:r w:rsidR="00F77198" w:rsidRPr="00516520">
        <w:rPr>
          <w:rFonts w:ascii="Trebuchet MS" w:hAnsi="Trebuchet MS" w:cs="Arial"/>
          <w:sz w:val="20"/>
          <w:szCs w:val="20"/>
        </w:rPr>
        <w:t xml:space="preserve">e procedur w zakresie zwrotu podatku w procedurze Pay&amp;Refund i skrócenie ustawowego okresu </w:t>
      </w:r>
      <w:r w:rsidR="008315C7" w:rsidRPr="00516520">
        <w:rPr>
          <w:rFonts w:ascii="Trebuchet MS" w:hAnsi="Trebuchet MS" w:cs="Arial"/>
          <w:sz w:val="20"/>
          <w:szCs w:val="20"/>
        </w:rPr>
        <w:t>zwrotu podatku z 6 do 3 miesięcy</w:t>
      </w:r>
      <w:r w:rsidR="00E0438E" w:rsidRPr="00516520">
        <w:rPr>
          <w:rFonts w:ascii="Trebuchet MS" w:hAnsi="Trebuchet MS" w:cs="Arial"/>
          <w:sz w:val="20"/>
          <w:szCs w:val="20"/>
        </w:rPr>
        <w:t xml:space="preserve"> co pozwoli firmom lepiej zarządzać bieżącą płynnością finansową.</w:t>
      </w:r>
    </w:p>
    <w:p w14:paraId="12E7713C" w14:textId="45C6FEB6" w:rsidR="005817C7" w:rsidRPr="00516520" w:rsidRDefault="00792A24" w:rsidP="00C904DE">
      <w:pPr>
        <w:pStyle w:val="Akapitzlist"/>
        <w:numPr>
          <w:ilvl w:val="0"/>
          <w:numId w:val="1"/>
        </w:numPr>
        <w:spacing w:line="360" w:lineRule="auto"/>
        <w:ind w:left="284" w:hanging="284"/>
        <w:jc w:val="both"/>
        <w:rPr>
          <w:rFonts w:ascii="Trebuchet MS" w:hAnsi="Trebuchet MS" w:cs="Arial"/>
          <w:b/>
          <w:bCs/>
          <w:sz w:val="20"/>
          <w:szCs w:val="20"/>
        </w:rPr>
      </w:pPr>
      <w:bookmarkStart w:id="0" w:name="_Hlk107845795"/>
      <w:r w:rsidRPr="00516520">
        <w:rPr>
          <w:rFonts w:ascii="Trebuchet MS" w:hAnsi="Trebuchet MS" w:cs="Arial"/>
          <w:b/>
          <w:bCs/>
          <w:sz w:val="20"/>
          <w:szCs w:val="20"/>
        </w:rPr>
        <w:t>Jednoznaczne potwierdzenie iż możliwe jest występowanie o opini</w:t>
      </w:r>
      <w:r w:rsidR="00103FFA" w:rsidRPr="00516520">
        <w:rPr>
          <w:rFonts w:ascii="Trebuchet MS" w:hAnsi="Trebuchet MS" w:cs="Arial"/>
          <w:b/>
          <w:bCs/>
          <w:sz w:val="20"/>
          <w:szCs w:val="20"/>
        </w:rPr>
        <w:t>ę</w:t>
      </w:r>
      <w:r w:rsidRPr="00516520">
        <w:rPr>
          <w:rFonts w:ascii="Trebuchet MS" w:hAnsi="Trebuchet MS" w:cs="Arial"/>
          <w:b/>
          <w:bCs/>
          <w:sz w:val="20"/>
          <w:szCs w:val="20"/>
        </w:rPr>
        <w:t xml:space="preserve"> zabezpieczającą w przypadku</w:t>
      </w:r>
      <w:r w:rsidR="00E0438E" w:rsidRPr="00516520">
        <w:rPr>
          <w:rFonts w:ascii="Trebuchet MS" w:hAnsi="Trebuchet MS" w:cs="Arial"/>
          <w:b/>
          <w:bCs/>
          <w:sz w:val="20"/>
          <w:szCs w:val="20"/>
        </w:rPr>
        <w:t xml:space="preserve"> tzw. zdarzenia przyszłego</w:t>
      </w:r>
    </w:p>
    <w:p w14:paraId="7E680CA1" w14:textId="75491AEE" w:rsidR="00E0438E" w:rsidRPr="00516520" w:rsidRDefault="00E0438E" w:rsidP="00C904DE">
      <w:pPr>
        <w:spacing w:line="360" w:lineRule="auto"/>
        <w:jc w:val="both"/>
        <w:rPr>
          <w:rFonts w:ascii="Trebuchet MS" w:hAnsi="Trebuchet MS" w:cs="Arial"/>
          <w:sz w:val="20"/>
          <w:szCs w:val="20"/>
        </w:rPr>
      </w:pPr>
      <w:r w:rsidRPr="00516520">
        <w:rPr>
          <w:rFonts w:ascii="Trebuchet MS" w:hAnsi="Trebuchet MS" w:cs="Arial"/>
          <w:sz w:val="20"/>
          <w:szCs w:val="20"/>
        </w:rPr>
        <w:t>W praktyce płatnicy / podatnicy mogą chcieć występować o opinię zabezpieczającą również w sytuacji gdy umowa z której mają wynikać płatności nie została jeszcze zawarta lub gdy podmiot otrzymujący dywidendę nie jest jeszcze udziałowcem / akcjonariuszem spółki. Celem jest oczywiście prognozowanie skutków podatkowych wynikających z planowanego kontraktu / struktury właścicielskiej, tak aby ewentualne korekty wprowadzać jeszcze przed podjęciem wiążących (niejednokrotnie kosztownych) decyzji biznesowych. Z tych również względów ustawodawca dopuszcza taką możliwość np. dla interpretacji indywidualnych i ta kwestia nie budzi wątpliwości.</w:t>
      </w:r>
    </w:p>
    <w:p w14:paraId="21E91FDD" w14:textId="3CD33F66" w:rsidR="00E0438E" w:rsidRPr="00516520" w:rsidRDefault="00E0438E" w:rsidP="00C904DE">
      <w:pPr>
        <w:spacing w:line="360" w:lineRule="auto"/>
        <w:jc w:val="both"/>
        <w:rPr>
          <w:rFonts w:ascii="Trebuchet MS" w:hAnsi="Trebuchet MS" w:cs="Arial"/>
          <w:sz w:val="20"/>
          <w:szCs w:val="20"/>
        </w:rPr>
      </w:pPr>
      <w:r w:rsidRPr="00516520">
        <w:rPr>
          <w:rFonts w:ascii="Trebuchet MS" w:hAnsi="Trebuchet MS" w:cs="Arial"/>
          <w:sz w:val="20"/>
          <w:szCs w:val="20"/>
        </w:rPr>
        <w:t xml:space="preserve">Obecnie obowiązujące przepisy art. 26b ustawy o CIT nie wykluczają takiej możliwości, można jednak spotkać się z negatywnym podejściem w tym zakresie prezentowanym przez niektóre organy podatkowe. W związku z powyższym wnosimy o jasne wskazanie w art. 26b ustawy o CIT iż opinia zabezpieczająca może dotyczyć zarówno stanów faktycznych jak i zdarzeń przyszłych. </w:t>
      </w:r>
    </w:p>
    <w:bookmarkEnd w:id="0"/>
    <w:p w14:paraId="6719BA6F" w14:textId="44CC699F" w:rsidR="005817C7" w:rsidRPr="00516520" w:rsidRDefault="005817C7" w:rsidP="00C904DE">
      <w:pPr>
        <w:pStyle w:val="Akapitzlist"/>
        <w:numPr>
          <w:ilvl w:val="0"/>
          <w:numId w:val="4"/>
        </w:numPr>
        <w:spacing w:line="360" w:lineRule="auto"/>
        <w:ind w:left="284" w:hanging="284"/>
        <w:jc w:val="both"/>
        <w:rPr>
          <w:rFonts w:ascii="Trebuchet MS" w:hAnsi="Trebuchet MS" w:cs="Arial"/>
          <w:b/>
          <w:bCs/>
          <w:sz w:val="20"/>
          <w:szCs w:val="20"/>
        </w:rPr>
      </w:pPr>
      <w:r w:rsidRPr="00516520">
        <w:rPr>
          <w:rFonts w:ascii="Trebuchet MS" w:hAnsi="Trebuchet MS" w:cs="Arial"/>
          <w:b/>
          <w:bCs/>
          <w:sz w:val="20"/>
          <w:szCs w:val="20"/>
        </w:rPr>
        <w:t xml:space="preserve">Pozostałe </w:t>
      </w:r>
      <w:r w:rsidR="00E0438E" w:rsidRPr="00516520">
        <w:rPr>
          <w:rFonts w:ascii="Trebuchet MS" w:hAnsi="Trebuchet MS" w:cs="Arial"/>
          <w:b/>
          <w:bCs/>
          <w:sz w:val="20"/>
          <w:szCs w:val="20"/>
        </w:rPr>
        <w:t>uwagi</w:t>
      </w:r>
      <w:r w:rsidRPr="00516520">
        <w:rPr>
          <w:rFonts w:ascii="Trebuchet MS" w:hAnsi="Trebuchet MS" w:cs="Arial"/>
          <w:b/>
          <w:bCs/>
          <w:sz w:val="20"/>
          <w:szCs w:val="20"/>
        </w:rPr>
        <w:t xml:space="preserve"> związane z reżimem Pay </w:t>
      </w:r>
      <w:r w:rsidR="00E0438E" w:rsidRPr="00516520">
        <w:rPr>
          <w:rFonts w:ascii="Trebuchet MS" w:hAnsi="Trebuchet MS" w:cs="Arial"/>
          <w:b/>
          <w:bCs/>
          <w:sz w:val="20"/>
          <w:szCs w:val="20"/>
        </w:rPr>
        <w:t>&amp;</w:t>
      </w:r>
      <w:r w:rsidRPr="00516520">
        <w:rPr>
          <w:rFonts w:ascii="Trebuchet MS" w:hAnsi="Trebuchet MS" w:cs="Arial"/>
          <w:b/>
          <w:bCs/>
          <w:sz w:val="20"/>
          <w:szCs w:val="20"/>
        </w:rPr>
        <w:t xml:space="preserve"> Refund </w:t>
      </w:r>
    </w:p>
    <w:p w14:paraId="5C1080DE" w14:textId="1F1B5B4C" w:rsidR="00E0438E" w:rsidRPr="00516520" w:rsidRDefault="005817C7" w:rsidP="00C904DE">
      <w:pPr>
        <w:spacing w:line="360" w:lineRule="auto"/>
        <w:jc w:val="both"/>
        <w:rPr>
          <w:rFonts w:ascii="Trebuchet MS" w:hAnsi="Trebuchet MS" w:cs="Arial"/>
          <w:sz w:val="20"/>
          <w:szCs w:val="20"/>
        </w:rPr>
      </w:pPr>
      <w:r w:rsidRPr="00516520">
        <w:rPr>
          <w:rFonts w:ascii="Trebuchet MS" w:hAnsi="Trebuchet MS" w:cs="Arial"/>
          <w:sz w:val="20"/>
          <w:szCs w:val="20"/>
        </w:rPr>
        <w:t xml:space="preserve">Od 2018 roku IGCC konsekwentnie wskazuje szereg postulatów związanych z przepisami z podatkiem u źródła. </w:t>
      </w:r>
    </w:p>
    <w:p w14:paraId="5239ED23" w14:textId="663D1957" w:rsidR="005817C7" w:rsidRPr="00516520" w:rsidRDefault="005817C7" w:rsidP="00C904DE">
      <w:pPr>
        <w:spacing w:line="360" w:lineRule="auto"/>
        <w:jc w:val="both"/>
        <w:rPr>
          <w:rFonts w:ascii="Trebuchet MS" w:hAnsi="Trebuchet MS" w:cs="Arial"/>
          <w:b/>
          <w:bCs/>
          <w:sz w:val="20"/>
          <w:szCs w:val="20"/>
        </w:rPr>
      </w:pPr>
      <w:r w:rsidRPr="00516520">
        <w:rPr>
          <w:rFonts w:ascii="Trebuchet MS" w:hAnsi="Trebuchet MS" w:cs="Arial"/>
          <w:b/>
          <w:bCs/>
          <w:sz w:val="20"/>
          <w:szCs w:val="20"/>
        </w:rPr>
        <w:t xml:space="preserve">Jeśli ich wprowadzenie na poziomie legislacyjnym nie będzie jednak możliwe, to postulujemy o jak najszybsze sfinalizowanie projektu objaśnień w zakresie stosowania mechanizmu Pay &amp; Refund  oraz zasad stosowania należytej staranności lub – w zależności od sytuacji </w:t>
      </w:r>
      <w:r w:rsidR="00E0438E" w:rsidRPr="00516520">
        <w:rPr>
          <w:rFonts w:ascii="Trebuchet MS" w:hAnsi="Trebuchet MS" w:cs="Arial"/>
          <w:b/>
          <w:bCs/>
          <w:sz w:val="20"/>
          <w:szCs w:val="20"/>
        </w:rPr>
        <w:t>-</w:t>
      </w:r>
      <w:r w:rsidRPr="00516520">
        <w:rPr>
          <w:rFonts w:ascii="Trebuchet MS" w:hAnsi="Trebuchet MS" w:cs="Arial"/>
          <w:b/>
          <w:bCs/>
          <w:sz w:val="20"/>
          <w:szCs w:val="20"/>
        </w:rPr>
        <w:t xml:space="preserve"> zmianę przyjętego podejścia w obszarze praktyki</w:t>
      </w:r>
      <w:r w:rsidR="00E0438E" w:rsidRPr="00516520">
        <w:rPr>
          <w:rFonts w:ascii="Trebuchet MS" w:hAnsi="Trebuchet MS" w:cs="Arial"/>
          <w:b/>
          <w:bCs/>
          <w:sz w:val="20"/>
          <w:szCs w:val="20"/>
        </w:rPr>
        <w:t>.</w:t>
      </w:r>
    </w:p>
    <w:p w14:paraId="51021D75" w14:textId="01553E52" w:rsidR="00E0438E" w:rsidRPr="00516520" w:rsidRDefault="007C46B6" w:rsidP="00C904DE">
      <w:pPr>
        <w:spacing w:line="360" w:lineRule="auto"/>
        <w:jc w:val="both"/>
        <w:rPr>
          <w:rFonts w:ascii="Trebuchet MS" w:hAnsi="Trebuchet MS" w:cs="Arial"/>
          <w:b/>
          <w:bCs/>
          <w:sz w:val="20"/>
          <w:szCs w:val="20"/>
          <w:u w:val="single"/>
        </w:rPr>
      </w:pPr>
      <w:r w:rsidRPr="00516520">
        <w:rPr>
          <w:rFonts w:ascii="Trebuchet MS" w:hAnsi="Trebuchet MS" w:cs="Arial"/>
          <w:b/>
          <w:bCs/>
          <w:sz w:val="20"/>
          <w:szCs w:val="20"/>
          <w:u w:val="single"/>
        </w:rPr>
        <w:t>W</w:t>
      </w:r>
      <w:r w:rsidR="00E0438E" w:rsidRPr="00516520">
        <w:rPr>
          <w:rFonts w:ascii="Trebuchet MS" w:hAnsi="Trebuchet MS" w:cs="Arial"/>
          <w:b/>
          <w:bCs/>
          <w:sz w:val="20"/>
          <w:szCs w:val="20"/>
          <w:u w:val="single"/>
        </w:rPr>
        <w:t xml:space="preserve"> załączeniu Izby ponownie przekazują pismo, które zawiera dotychczas zebrane postulaty w obszarze objaśnień w zakresie podatku u źródła.</w:t>
      </w:r>
    </w:p>
    <w:p w14:paraId="5F840CF0" w14:textId="03924D67" w:rsidR="005817C7" w:rsidRPr="00516520" w:rsidRDefault="00E0438E" w:rsidP="00C904DE">
      <w:pPr>
        <w:spacing w:line="360" w:lineRule="auto"/>
        <w:jc w:val="both"/>
        <w:rPr>
          <w:rFonts w:ascii="Trebuchet MS" w:hAnsi="Trebuchet MS" w:cs="Arial"/>
          <w:sz w:val="20"/>
          <w:szCs w:val="20"/>
        </w:rPr>
      </w:pPr>
      <w:r w:rsidRPr="00516520">
        <w:rPr>
          <w:rFonts w:ascii="Trebuchet MS" w:hAnsi="Trebuchet MS" w:cs="Arial"/>
          <w:sz w:val="20"/>
          <w:szCs w:val="20"/>
        </w:rPr>
        <w:t>Dodatkowo Izby, zgłaszają poniższe kwestie techniczne związane z procedurą podatku u źródła które wymagają zmian proceduralnych i / lub objaśnień co do praktyki jaką powinny przyjąć polskie spółki jako płatnicy.</w:t>
      </w:r>
    </w:p>
    <w:p w14:paraId="066678AB" w14:textId="20A291AB" w:rsidR="005817C7" w:rsidRPr="00516520" w:rsidRDefault="005817C7" w:rsidP="00C904DE">
      <w:pPr>
        <w:pStyle w:val="Akapitzlist"/>
        <w:numPr>
          <w:ilvl w:val="0"/>
          <w:numId w:val="5"/>
        </w:numPr>
        <w:spacing w:line="360" w:lineRule="auto"/>
        <w:ind w:left="284" w:hanging="284"/>
        <w:jc w:val="both"/>
        <w:rPr>
          <w:rFonts w:ascii="Trebuchet MS" w:hAnsi="Trebuchet MS" w:cs="Arial"/>
          <w:b/>
          <w:bCs/>
          <w:sz w:val="20"/>
          <w:szCs w:val="20"/>
        </w:rPr>
      </w:pPr>
      <w:r w:rsidRPr="00516520">
        <w:rPr>
          <w:rFonts w:ascii="Trebuchet MS" w:hAnsi="Trebuchet MS" w:cs="Arial"/>
          <w:b/>
          <w:bCs/>
          <w:sz w:val="20"/>
          <w:szCs w:val="20"/>
        </w:rPr>
        <w:t>Podpisanie oświadczenia płatnika przez zarząd</w:t>
      </w:r>
    </w:p>
    <w:p w14:paraId="6869DE5C" w14:textId="1049FB51" w:rsidR="00E0438E" w:rsidRPr="00516520" w:rsidRDefault="0084158B" w:rsidP="00C904DE">
      <w:pPr>
        <w:pStyle w:val="Default"/>
        <w:numPr>
          <w:ilvl w:val="0"/>
          <w:numId w:val="3"/>
        </w:numPr>
        <w:spacing w:line="360" w:lineRule="auto"/>
        <w:ind w:left="709" w:hanging="425"/>
        <w:jc w:val="both"/>
        <w:rPr>
          <w:rFonts w:ascii="Trebuchet MS" w:hAnsi="Trebuchet MS" w:cs="Arial"/>
          <w:b/>
          <w:bCs/>
          <w:sz w:val="20"/>
          <w:szCs w:val="20"/>
        </w:rPr>
      </w:pPr>
      <w:r w:rsidRPr="00516520">
        <w:rPr>
          <w:rFonts w:ascii="Trebuchet MS" w:hAnsi="Trebuchet MS" w:cs="Arial"/>
          <w:sz w:val="20"/>
          <w:szCs w:val="20"/>
        </w:rPr>
        <w:t xml:space="preserve">W praktyce </w:t>
      </w:r>
      <w:r w:rsidR="005817C7" w:rsidRPr="00516520">
        <w:rPr>
          <w:rFonts w:ascii="Trebuchet MS" w:hAnsi="Trebuchet MS" w:cs="Arial"/>
          <w:sz w:val="20"/>
          <w:szCs w:val="20"/>
        </w:rPr>
        <w:t xml:space="preserve">firmy zrzeszone w </w:t>
      </w:r>
      <w:r w:rsidRPr="00516520">
        <w:rPr>
          <w:rFonts w:ascii="Trebuchet MS" w:hAnsi="Trebuchet MS" w:cs="Arial"/>
          <w:sz w:val="20"/>
          <w:szCs w:val="20"/>
        </w:rPr>
        <w:t>Izb</w:t>
      </w:r>
      <w:r w:rsidR="005817C7" w:rsidRPr="00516520">
        <w:rPr>
          <w:rFonts w:ascii="Trebuchet MS" w:hAnsi="Trebuchet MS" w:cs="Arial"/>
          <w:sz w:val="20"/>
          <w:szCs w:val="20"/>
        </w:rPr>
        <w:t>ach</w:t>
      </w:r>
      <w:r w:rsidRPr="00516520">
        <w:rPr>
          <w:rFonts w:ascii="Trebuchet MS" w:hAnsi="Trebuchet MS" w:cs="Arial"/>
          <w:sz w:val="20"/>
          <w:szCs w:val="20"/>
        </w:rPr>
        <w:t xml:space="preserve"> spotykają się z podejściem </w:t>
      </w:r>
      <w:r w:rsidR="005817C7" w:rsidRPr="00516520">
        <w:rPr>
          <w:rFonts w:ascii="Trebuchet MS" w:hAnsi="Trebuchet MS" w:cs="Arial"/>
          <w:sz w:val="20"/>
          <w:szCs w:val="20"/>
        </w:rPr>
        <w:t xml:space="preserve">zgodnie z </w:t>
      </w:r>
      <w:r w:rsidRPr="00516520">
        <w:rPr>
          <w:rFonts w:ascii="Trebuchet MS" w:hAnsi="Trebuchet MS" w:cs="Arial"/>
          <w:sz w:val="20"/>
          <w:szCs w:val="20"/>
        </w:rPr>
        <w:t>którym do oświadczenia WH-OSC wymagane jest złożenie dodatkowego oświadczenia podpisanego przez cały zarząd. Takie podejście nie wynika jednak z przepisów prawa</w:t>
      </w:r>
      <w:r w:rsidR="005817C7" w:rsidRPr="00516520">
        <w:rPr>
          <w:rFonts w:ascii="Trebuchet MS" w:hAnsi="Trebuchet MS" w:cs="Arial"/>
          <w:sz w:val="20"/>
          <w:szCs w:val="20"/>
        </w:rPr>
        <w:t xml:space="preserve">, wręcz przeciwnie przepis wprost wskazuje, że oświadczenie może być podpisane przez wyznaczoną osobę wchodzącą w skład zarządu. Obecnie obowiązujące przepisy zostały wprowadzone od 1 stycznia 2022 roku, po nowelizacji przepisów które nakazywały aby oświadczenie zostało podpisane przez wszystkich członków zarządu. Przyjęta praktyka efektywnie niweluje efekt pozytywnej dla płatników zmiany. </w:t>
      </w:r>
    </w:p>
    <w:p w14:paraId="013B1D6F" w14:textId="77777777" w:rsidR="00113A0C" w:rsidRPr="00516520" w:rsidRDefault="00113A0C" w:rsidP="00C904DE">
      <w:pPr>
        <w:pStyle w:val="Default"/>
        <w:spacing w:line="360" w:lineRule="auto"/>
        <w:ind w:left="709"/>
        <w:jc w:val="both"/>
        <w:rPr>
          <w:rFonts w:ascii="Trebuchet MS" w:hAnsi="Trebuchet MS" w:cs="Arial"/>
          <w:b/>
          <w:bCs/>
          <w:sz w:val="20"/>
          <w:szCs w:val="20"/>
        </w:rPr>
      </w:pPr>
    </w:p>
    <w:p w14:paraId="052EBB55" w14:textId="4E39A0BD" w:rsidR="005817C7" w:rsidRPr="00516520" w:rsidRDefault="00E0438E" w:rsidP="00C904DE">
      <w:pPr>
        <w:pStyle w:val="Default"/>
        <w:numPr>
          <w:ilvl w:val="0"/>
          <w:numId w:val="3"/>
        </w:numPr>
        <w:spacing w:line="360" w:lineRule="auto"/>
        <w:ind w:left="709" w:hanging="425"/>
        <w:jc w:val="both"/>
        <w:rPr>
          <w:rFonts w:ascii="Trebuchet MS" w:hAnsi="Trebuchet MS" w:cs="Arial"/>
          <w:b/>
          <w:bCs/>
          <w:sz w:val="20"/>
          <w:szCs w:val="20"/>
        </w:rPr>
      </w:pPr>
      <w:r w:rsidRPr="00516520">
        <w:rPr>
          <w:rFonts w:ascii="Trebuchet MS" w:hAnsi="Trebuchet MS" w:cs="Arial"/>
          <w:sz w:val="20"/>
          <w:szCs w:val="20"/>
        </w:rPr>
        <w:t>Dodatkowo, IGCC apeluje o umożliwienie</w:t>
      </w:r>
      <w:r w:rsidR="005817C7" w:rsidRPr="00516520">
        <w:rPr>
          <w:rFonts w:ascii="Trebuchet MS" w:hAnsi="Trebuchet MS" w:cs="Arial"/>
          <w:sz w:val="20"/>
          <w:szCs w:val="20"/>
        </w:rPr>
        <w:t xml:space="preserve"> podpisywania oświadczenia WH-OSC przez zarząd elektronicznie </w:t>
      </w:r>
      <w:r w:rsidRPr="00516520">
        <w:rPr>
          <w:rFonts w:ascii="Trebuchet MS" w:hAnsi="Trebuchet MS" w:cs="Arial"/>
          <w:sz w:val="20"/>
          <w:szCs w:val="20"/>
        </w:rPr>
        <w:t>a także</w:t>
      </w:r>
      <w:r w:rsidR="005817C7" w:rsidRPr="00516520">
        <w:rPr>
          <w:rFonts w:ascii="Trebuchet MS" w:hAnsi="Trebuchet MS" w:cs="Arial"/>
          <w:sz w:val="20"/>
          <w:szCs w:val="20"/>
        </w:rPr>
        <w:t xml:space="preserve"> możliwość złożenia przez pracownika, który obsługuje e-deklaracje.</w:t>
      </w:r>
      <w:r w:rsidRPr="00516520">
        <w:rPr>
          <w:rFonts w:ascii="Trebuchet MS" w:hAnsi="Trebuchet MS" w:cs="Arial"/>
          <w:sz w:val="20"/>
          <w:szCs w:val="20"/>
        </w:rPr>
        <w:t xml:space="preserve"> Obecnie, wymagane jest również </w:t>
      </w:r>
      <w:r w:rsidRPr="00516520">
        <w:rPr>
          <w:rFonts w:ascii="Trebuchet MS" w:hAnsi="Trebuchet MS" w:cs="Arial"/>
          <w:sz w:val="20"/>
          <w:szCs w:val="20"/>
          <w:u w:val="single"/>
        </w:rPr>
        <w:t>techniczne</w:t>
      </w:r>
      <w:r w:rsidRPr="00516520">
        <w:rPr>
          <w:rFonts w:ascii="Trebuchet MS" w:hAnsi="Trebuchet MS" w:cs="Arial"/>
          <w:sz w:val="20"/>
          <w:szCs w:val="20"/>
        </w:rPr>
        <w:t xml:space="preserve"> </w:t>
      </w:r>
      <w:r w:rsidRPr="00516520">
        <w:rPr>
          <w:rFonts w:ascii="Trebuchet MS" w:hAnsi="Trebuchet MS" w:cs="Arial"/>
          <w:sz w:val="20"/>
          <w:szCs w:val="20"/>
          <w:u w:val="single"/>
        </w:rPr>
        <w:t>złożenie</w:t>
      </w:r>
      <w:r w:rsidRPr="00516520">
        <w:rPr>
          <w:rFonts w:ascii="Trebuchet MS" w:hAnsi="Trebuchet MS" w:cs="Arial"/>
          <w:sz w:val="20"/>
          <w:szCs w:val="20"/>
        </w:rPr>
        <w:t xml:space="preserve"> pisma bezpośrednio przez członka zarządu co w ocenie firm stanowi zbędną uciążliwość administracyjną.</w:t>
      </w:r>
    </w:p>
    <w:p w14:paraId="6CD569D8" w14:textId="77777777" w:rsidR="005817C7" w:rsidRPr="00516520" w:rsidRDefault="005817C7" w:rsidP="00C904DE">
      <w:pPr>
        <w:pStyle w:val="Default"/>
        <w:spacing w:line="360" w:lineRule="auto"/>
        <w:jc w:val="both"/>
        <w:rPr>
          <w:rFonts w:ascii="Trebuchet MS" w:hAnsi="Trebuchet MS"/>
          <w:sz w:val="20"/>
          <w:szCs w:val="20"/>
        </w:rPr>
      </w:pPr>
    </w:p>
    <w:p w14:paraId="6BED3CD1" w14:textId="77777777" w:rsidR="00E0438E" w:rsidRPr="00516520" w:rsidRDefault="005817C7" w:rsidP="00C904DE">
      <w:pPr>
        <w:pStyle w:val="Akapitzlist"/>
        <w:numPr>
          <w:ilvl w:val="0"/>
          <w:numId w:val="5"/>
        </w:numPr>
        <w:spacing w:line="360" w:lineRule="auto"/>
        <w:ind w:left="284" w:hanging="284"/>
        <w:jc w:val="both"/>
        <w:rPr>
          <w:rFonts w:ascii="Trebuchet MS" w:hAnsi="Trebuchet MS" w:cs="Arial"/>
          <w:b/>
          <w:bCs/>
          <w:sz w:val="20"/>
          <w:szCs w:val="20"/>
        </w:rPr>
      </w:pPr>
      <w:r w:rsidRPr="00516520">
        <w:rPr>
          <w:rFonts w:ascii="Trebuchet MS" w:hAnsi="Trebuchet MS" w:cs="Arial"/>
          <w:b/>
          <w:bCs/>
          <w:sz w:val="20"/>
          <w:szCs w:val="20"/>
        </w:rPr>
        <w:t xml:space="preserve">Sprecyzowanie wymogu dochowania należytej staranności w odniesieniu do płatności okresowych z tytułu jednej umowy bądź jednego rodzaju usługi. </w:t>
      </w:r>
    </w:p>
    <w:p w14:paraId="322D2916" w14:textId="77777777" w:rsidR="00E0438E" w:rsidRPr="00516520" w:rsidRDefault="00E0438E" w:rsidP="00C904DE">
      <w:pPr>
        <w:pStyle w:val="Akapitzlist"/>
        <w:spacing w:line="360" w:lineRule="auto"/>
        <w:ind w:left="284"/>
        <w:jc w:val="both"/>
        <w:rPr>
          <w:rFonts w:ascii="Trebuchet MS" w:hAnsi="Trebuchet MS" w:cs="Arial"/>
          <w:b/>
          <w:bCs/>
          <w:sz w:val="20"/>
          <w:szCs w:val="20"/>
        </w:rPr>
      </w:pPr>
    </w:p>
    <w:p w14:paraId="4A9E88E1" w14:textId="209B5C65" w:rsidR="000F54D4" w:rsidRPr="00516520" w:rsidRDefault="005817C7" w:rsidP="00C904DE">
      <w:pPr>
        <w:pStyle w:val="Akapitzlist"/>
        <w:spacing w:after="160" w:line="360" w:lineRule="auto"/>
        <w:ind w:left="709"/>
        <w:jc w:val="both"/>
        <w:rPr>
          <w:rFonts w:ascii="Trebuchet MS" w:hAnsi="Trebuchet MS" w:cs="Arial"/>
          <w:sz w:val="20"/>
          <w:szCs w:val="20"/>
        </w:rPr>
      </w:pPr>
      <w:r w:rsidRPr="00516520">
        <w:rPr>
          <w:rFonts w:ascii="Trebuchet MS" w:hAnsi="Trebuchet MS" w:cs="Arial"/>
          <w:sz w:val="20"/>
          <w:szCs w:val="20"/>
        </w:rPr>
        <w:t xml:space="preserve">Zbieranie dokumentacji do każdej płatności z tytułu tej samej usługi bądź na podstawie tej samej umowy wydaje się zbyt rygorystyczne, wnosimy zatem o doprecyzowanie, że w takich sytuacjach obowiązek zbierania dokumentacji istnieje raz w roku, przed zapłatą pierwszej płatności. </w:t>
      </w:r>
      <w:r w:rsidRPr="00516520">
        <w:rPr>
          <w:rFonts w:ascii="Trebuchet MS" w:hAnsi="Trebuchet MS" w:cs="Arial"/>
          <w:b/>
          <w:bCs/>
          <w:sz w:val="20"/>
          <w:szCs w:val="20"/>
        </w:rPr>
        <w:t>W przypadku kolejnych płatności wystarczające wydaje się potwierdzenie od dostawcy, że charakter wypłat i okoliczności związane z odbiorca płatności nie uległy zmianie.</w:t>
      </w:r>
      <w:r w:rsidRPr="00516520">
        <w:rPr>
          <w:rFonts w:ascii="Trebuchet MS" w:hAnsi="Trebuchet MS" w:cs="Arial"/>
          <w:sz w:val="20"/>
          <w:szCs w:val="20"/>
        </w:rPr>
        <w:t xml:space="preserve"> W przypadku zmiany, konieczne byłoby uzyskanie dokumentacji w odniesieniu do zmieniającej się okoliczności.</w:t>
      </w:r>
    </w:p>
    <w:p w14:paraId="0334598C" w14:textId="77777777" w:rsidR="00AC0921" w:rsidRPr="00516520" w:rsidRDefault="00AC0921" w:rsidP="00C904DE">
      <w:pPr>
        <w:pStyle w:val="Akapitzlist"/>
        <w:spacing w:after="160" w:line="360" w:lineRule="auto"/>
        <w:ind w:left="709"/>
        <w:jc w:val="both"/>
        <w:rPr>
          <w:rFonts w:ascii="Trebuchet MS" w:hAnsi="Trebuchet MS" w:cs="Arial"/>
          <w:sz w:val="20"/>
          <w:szCs w:val="20"/>
        </w:rPr>
      </w:pPr>
    </w:p>
    <w:p w14:paraId="0572CDF8" w14:textId="77777777" w:rsidR="000F54D4" w:rsidRPr="00516520" w:rsidRDefault="000F54D4" w:rsidP="00C904DE">
      <w:pPr>
        <w:pStyle w:val="Akapitzlist"/>
        <w:numPr>
          <w:ilvl w:val="0"/>
          <w:numId w:val="5"/>
        </w:numPr>
        <w:spacing w:line="360" w:lineRule="auto"/>
        <w:ind w:left="284" w:hanging="284"/>
        <w:jc w:val="both"/>
        <w:rPr>
          <w:rFonts w:ascii="Trebuchet MS" w:hAnsi="Trebuchet MS" w:cs="Arial"/>
          <w:b/>
          <w:bCs/>
          <w:sz w:val="20"/>
          <w:szCs w:val="20"/>
        </w:rPr>
      </w:pPr>
      <w:r w:rsidRPr="00516520">
        <w:rPr>
          <w:rFonts w:ascii="Trebuchet MS" w:hAnsi="Trebuchet MS" w:cs="Arial"/>
          <w:b/>
          <w:bCs/>
          <w:sz w:val="20"/>
          <w:szCs w:val="20"/>
        </w:rPr>
        <w:t>Liczenie limitu w przypadku podatników z łamanym rokiem podatkowym</w:t>
      </w:r>
    </w:p>
    <w:p w14:paraId="205457D8" w14:textId="77777777" w:rsidR="000F54D4" w:rsidRDefault="000F54D4" w:rsidP="00C904DE">
      <w:pPr>
        <w:spacing w:line="360" w:lineRule="auto"/>
        <w:jc w:val="both"/>
        <w:rPr>
          <w:rFonts w:ascii="Trebuchet MS" w:hAnsi="Trebuchet MS" w:cs="Arial"/>
          <w:sz w:val="20"/>
          <w:szCs w:val="20"/>
        </w:rPr>
      </w:pPr>
      <w:r w:rsidRPr="00516520">
        <w:rPr>
          <w:rFonts w:ascii="Trebuchet MS" w:hAnsi="Trebuchet MS" w:cs="Arial"/>
          <w:sz w:val="20"/>
          <w:szCs w:val="20"/>
        </w:rPr>
        <w:t xml:space="preserve">W obecnym stanie prawnym występuje niepewność, w jakim okresie należy liczyć limit 2mPLN dla spółek z łamanym rokiem podatkowym. Przykładowo, jeśli u podatnika rok podatkowy zakończył się 31 marca 2022, to powstaje wątpliwość czy należy liczyć limit 2mPLN w okresie od 1 stycznia do 31 marca 2022 a następnie od 1 kwietnia 2022 – dwukrotne liczenie limitu odpowiednio dla lat podatkowych i obowiązywania przepisów Pay &amp; Refund. Ponieważ kwestia ta nie wynika wprost z przepisów, to postulujemy o uwzględnienie tego zagadnienia w objaśnieniach w zakresie stosowania mechanizmu Pay &amp; Refund lub nawet w interpretacji ogólnej Ministra Finansów. </w:t>
      </w:r>
    </w:p>
    <w:p w14:paraId="634B47CC" w14:textId="77777777" w:rsidR="00C904DE" w:rsidRDefault="00C904DE" w:rsidP="00C904DE">
      <w:pPr>
        <w:spacing w:line="360" w:lineRule="auto"/>
        <w:jc w:val="both"/>
        <w:rPr>
          <w:rFonts w:ascii="Trebuchet MS" w:hAnsi="Trebuchet MS" w:cs="Arial"/>
          <w:sz w:val="20"/>
          <w:szCs w:val="20"/>
        </w:rPr>
      </w:pPr>
    </w:p>
    <w:p w14:paraId="5A0E4496" w14:textId="77777777" w:rsidR="00C904DE" w:rsidRDefault="00C904DE" w:rsidP="00C904DE">
      <w:pPr>
        <w:spacing w:line="360" w:lineRule="auto"/>
        <w:jc w:val="both"/>
        <w:rPr>
          <w:rFonts w:ascii="Trebuchet MS" w:hAnsi="Trebuchet MS" w:cs="Arial"/>
          <w:sz w:val="20"/>
          <w:szCs w:val="20"/>
        </w:rPr>
      </w:pPr>
    </w:p>
    <w:p w14:paraId="706A0269" w14:textId="77777777" w:rsidR="00C904DE" w:rsidRDefault="00C904DE" w:rsidP="00C904DE">
      <w:pPr>
        <w:spacing w:line="360" w:lineRule="auto"/>
        <w:jc w:val="both"/>
        <w:rPr>
          <w:rFonts w:ascii="Trebuchet MS" w:hAnsi="Trebuchet MS" w:cs="Arial"/>
          <w:sz w:val="20"/>
          <w:szCs w:val="20"/>
        </w:rPr>
      </w:pPr>
    </w:p>
    <w:p w14:paraId="05323C82" w14:textId="77777777" w:rsidR="00D0209A" w:rsidRDefault="00D0209A" w:rsidP="00C904DE">
      <w:pPr>
        <w:spacing w:line="360" w:lineRule="auto"/>
        <w:jc w:val="both"/>
        <w:rPr>
          <w:rFonts w:ascii="Trebuchet MS" w:hAnsi="Trebuchet MS" w:cs="Arial"/>
          <w:sz w:val="20"/>
          <w:szCs w:val="20"/>
        </w:rPr>
      </w:pPr>
    </w:p>
    <w:p w14:paraId="2DEB60C5" w14:textId="77777777" w:rsidR="00C904DE" w:rsidRDefault="00C904DE" w:rsidP="00C904DE">
      <w:pPr>
        <w:spacing w:line="360" w:lineRule="auto"/>
        <w:jc w:val="both"/>
        <w:rPr>
          <w:rFonts w:ascii="Trebuchet MS" w:hAnsi="Trebuchet MS" w:cs="Arial"/>
          <w:sz w:val="20"/>
          <w:szCs w:val="20"/>
        </w:rPr>
      </w:pPr>
    </w:p>
    <w:p w14:paraId="39EC2B53" w14:textId="685573B6" w:rsidR="00C904DE" w:rsidRDefault="00C904DE" w:rsidP="00C904DE">
      <w:pPr>
        <w:spacing w:line="360" w:lineRule="auto"/>
        <w:jc w:val="both"/>
        <w:rPr>
          <w:rFonts w:ascii="Trebuchet MS" w:hAnsi="Trebuchet MS" w:cs="Arial"/>
          <w:sz w:val="20"/>
          <w:szCs w:val="20"/>
        </w:rPr>
      </w:pPr>
    </w:p>
    <w:p w14:paraId="3446ED1D" w14:textId="77777777" w:rsidR="00C904DE" w:rsidRDefault="00C904DE" w:rsidP="00C904DE">
      <w:pPr>
        <w:spacing w:line="360" w:lineRule="auto"/>
        <w:jc w:val="both"/>
        <w:rPr>
          <w:rFonts w:ascii="Trebuchet MS" w:hAnsi="Trebuchet MS" w:cs="Arial"/>
          <w:sz w:val="20"/>
          <w:szCs w:val="20"/>
        </w:rPr>
      </w:pPr>
    </w:p>
    <w:p w14:paraId="3827C24A" w14:textId="77777777" w:rsidR="00C904DE" w:rsidRPr="00516520" w:rsidRDefault="00C904DE" w:rsidP="00C904DE">
      <w:pPr>
        <w:spacing w:line="360" w:lineRule="auto"/>
        <w:jc w:val="both"/>
        <w:rPr>
          <w:rFonts w:ascii="Trebuchet MS" w:hAnsi="Trebuchet MS" w:cs="Arial"/>
          <w:sz w:val="20"/>
          <w:szCs w:val="20"/>
        </w:rPr>
      </w:pPr>
    </w:p>
    <w:p w14:paraId="02230574" w14:textId="6D1AF3D5" w:rsidR="00516520" w:rsidRPr="00ED4925" w:rsidRDefault="00ED4925" w:rsidP="00C904DE">
      <w:pPr>
        <w:pStyle w:val="Akapitzlist"/>
        <w:numPr>
          <w:ilvl w:val="0"/>
          <w:numId w:val="12"/>
        </w:numPr>
        <w:spacing w:line="360" w:lineRule="auto"/>
        <w:jc w:val="center"/>
        <w:rPr>
          <w:rFonts w:ascii="Trebuchet MS" w:hAnsi="Trebuchet MS" w:cs="Arial"/>
          <w:b/>
          <w:sz w:val="24"/>
          <w:szCs w:val="24"/>
        </w:rPr>
      </w:pPr>
      <w:r w:rsidRPr="00ED4925">
        <w:rPr>
          <w:rFonts w:ascii="Trebuchet MS" w:hAnsi="Trebuchet MS" w:cs="Arial"/>
          <w:b/>
          <w:sz w:val="24"/>
          <w:szCs w:val="24"/>
        </w:rPr>
        <w:t>UWAGI DO PROJEKTU W ZAKRESIE</w:t>
      </w:r>
      <w:r w:rsidRPr="00ED4925">
        <w:rPr>
          <w:rFonts w:ascii="Trebuchet MS" w:hAnsi="Trebuchet MS" w:cs="Arial"/>
          <w:b/>
          <w:sz w:val="24"/>
          <w:szCs w:val="24"/>
        </w:rPr>
        <w:t xml:space="preserve"> </w:t>
      </w:r>
      <w:r>
        <w:rPr>
          <w:rFonts w:ascii="Trebuchet MS" w:hAnsi="Trebuchet MS" w:cs="Arial"/>
          <w:b/>
          <w:sz w:val="24"/>
          <w:szCs w:val="24"/>
        </w:rPr>
        <w:t>CEN</w:t>
      </w:r>
      <w:r w:rsidR="00516520" w:rsidRPr="00ED4925">
        <w:rPr>
          <w:rFonts w:ascii="Trebuchet MS" w:hAnsi="Trebuchet MS" w:cs="Arial"/>
          <w:b/>
          <w:sz w:val="24"/>
          <w:szCs w:val="24"/>
        </w:rPr>
        <w:t xml:space="preserve"> </w:t>
      </w:r>
      <w:r>
        <w:rPr>
          <w:rFonts w:ascii="Trebuchet MS" w:hAnsi="Trebuchet MS" w:cs="Arial"/>
          <w:b/>
          <w:sz w:val="24"/>
          <w:szCs w:val="24"/>
        </w:rPr>
        <w:t>TRANSFEROWYCH</w:t>
      </w:r>
    </w:p>
    <w:p w14:paraId="686140D9" w14:textId="77777777" w:rsidR="00516520" w:rsidRP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Praktyczne doświadczenia w zakresie dokumentowania roku 2021 wskazują w sposób dobitny, że wprowadzony standard należytej staranności</w:t>
      </w:r>
      <w:r w:rsidRPr="00516520">
        <w:rPr>
          <w:rStyle w:val="Odwoanieprzypisudolnego"/>
          <w:rFonts w:ascii="Trebuchet MS" w:hAnsi="Trebuchet MS" w:cs="Arial"/>
          <w:sz w:val="20"/>
          <w:szCs w:val="20"/>
        </w:rPr>
        <w:footnoteReference w:id="2"/>
      </w:r>
      <w:r w:rsidRPr="00516520">
        <w:rPr>
          <w:rFonts w:ascii="Trebuchet MS" w:hAnsi="Trebuchet MS" w:cs="Arial"/>
          <w:sz w:val="20"/>
          <w:szCs w:val="20"/>
        </w:rPr>
        <w:t xml:space="preserve"> w stosunku do Podmiotów Rajowych jest w wielu przypadkach niemożliwy do dochowania z przyczyn obiektywnych (np. gromadzenie oświadczeń od zagranicznych kontrahentów).</w:t>
      </w:r>
    </w:p>
    <w:p w14:paraId="7601BDC3" w14:textId="77777777" w:rsidR="00516520" w:rsidRP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Ponadto, należy zwrócić uwagę na brak analogicznych przepisów w innych jurysdykcjach podatkowych. Nadmiarowość obowiązujących w obecnym kształcie przepisów art. 11o ustawy o CIT skutkuje zatem:</w:t>
      </w:r>
    </w:p>
    <w:p w14:paraId="3BD9E87D" w14:textId="77777777" w:rsidR="00516520" w:rsidRPr="00516520" w:rsidRDefault="00516520" w:rsidP="00C904DE">
      <w:pPr>
        <w:pStyle w:val="Akapitzlist"/>
        <w:numPr>
          <w:ilvl w:val="0"/>
          <w:numId w:val="13"/>
        </w:num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wzrostem obciążeń i kosztów administracyjnych po stronie polskich podatników,</w:t>
      </w:r>
    </w:p>
    <w:p w14:paraId="31B8C69F" w14:textId="77777777" w:rsidR="00516520" w:rsidRPr="00516520" w:rsidRDefault="00516520" w:rsidP="00C904DE">
      <w:pPr>
        <w:pStyle w:val="Akapitzlist"/>
        <w:numPr>
          <w:ilvl w:val="0"/>
          <w:numId w:val="13"/>
        </w:num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 xml:space="preserve">ograniczeniem konkurencyjności polskich podatników z uwagi na nieczytelne dla zagranicznych kontrahentów wymogi formalne, które nie mają racjonalnego uzasadnienia, </w:t>
      </w:r>
    </w:p>
    <w:p w14:paraId="18A898FB" w14:textId="77777777" w:rsidR="00516520" w:rsidRPr="00516520" w:rsidRDefault="00516520" w:rsidP="00C904DE">
      <w:pPr>
        <w:pStyle w:val="Akapitzlist"/>
        <w:numPr>
          <w:ilvl w:val="0"/>
          <w:numId w:val="13"/>
        </w:num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ograniczeniem siły negocjacyjnej polskich podmiotów na rynku kontrahenta podatnika,</w:t>
      </w:r>
    </w:p>
    <w:p w14:paraId="17019925" w14:textId="77777777" w:rsidR="00516520" w:rsidRPr="00516520" w:rsidRDefault="00516520" w:rsidP="00C904DE">
      <w:pPr>
        <w:pStyle w:val="Akapitzlist"/>
        <w:numPr>
          <w:ilvl w:val="0"/>
          <w:numId w:val="13"/>
        </w:num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nieadekwatnością i nieproporcjonalnością obowiązków podatników do celów fiskalnych związanych z tymi obowiązkami.</w:t>
      </w:r>
    </w:p>
    <w:p w14:paraId="335CF09E" w14:textId="77777777" w:rsidR="00516520" w:rsidRP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cs="Arial"/>
          <w:b/>
          <w:bCs/>
          <w:sz w:val="20"/>
          <w:szCs w:val="20"/>
        </w:rPr>
        <w:t>W związku z powyższym, IGCC w pierwszej kolejności postuluje za likwidacją art. 11o Ustawy o CIT, alternatywnie w opinii IGCC obowiązywanie przepisów art. 11o Ustawy o CIT powinno zostać czasowo zawieszone</w:t>
      </w:r>
      <w:r w:rsidRPr="00516520">
        <w:rPr>
          <w:rFonts w:ascii="Trebuchet MS" w:hAnsi="Trebuchet MS" w:cs="Arial"/>
          <w:sz w:val="20"/>
          <w:szCs w:val="20"/>
        </w:rPr>
        <w:t xml:space="preserve"> do momentu wypracowania bardziej adekwatnych rozwiązań do walki z powszechnie krytykowanym zjawiskiem przerzucania dochodów do tak zwanych „rajów podatkowych”.</w:t>
      </w:r>
    </w:p>
    <w:p w14:paraId="0F879E84" w14:textId="77777777" w:rsidR="00516520" w:rsidRP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cs="Arial"/>
          <w:b/>
          <w:bCs/>
          <w:sz w:val="20"/>
          <w:szCs w:val="20"/>
        </w:rPr>
        <w:t>W przypadku nieuwzględnienia powyższych propozycji, w dalszej kolejności IGCC postuluje za możliwie jak najszerszą liberalizacją obowiązków poprzez gruntowną nowelizację przepisów art. 11o Ustawy o CIT</w:t>
      </w:r>
      <w:r w:rsidRPr="00516520">
        <w:rPr>
          <w:rFonts w:ascii="Trebuchet MS" w:hAnsi="Trebuchet MS" w:cs="Arial"/>
          <w:sz w:val="20"/>
          <w:szCs w:val="20"/>
        </w:rPr>
        <w:t>. Ponadto, zgodnie z intencją projektodawcy, przepisy Projektu Ustawy zakładają fakultatywny wybór wprowadzanego reżimu prawnego z mocą wsteczną, do transakcji rozpoczętych i niezakończonych przed 1 stycznia 2021 r. oraz transakcji zawartych po 31 grudnia 2020 r. Tym samym podatnicy, dla których termin wywiązania się z obowiązków nałożonych przepisami art. 11o Ustawy o CIT przypada na dzień 31 grudnia br. stają przed praktycznym dylematem, czy aktualnie prowadzone prace w zakresie dochowania standardu należytej staranności oraz ewentualnego dokumentowania tak zwanych pośrednich transakcji rajowych realizować w oparciu o przepisy art. 11o Ustawy o CIT (w brzmieniu obowiązującym od  1 stycznia 2021 r.), czy też polegać na Projekcie Ustawy, którego ostateczny kształt biorąc pod uwagę wczesny etap prac legislacyjnych jest na ten moment nieznany a sam termin zakończenia prac nad Projektem Ustawy relatywnie odległy.</w:t>
      </w:r>
    </w:p>
    <w:p w14:paraId="60D8DB82" w14:textId="77777777" w:rsidR="00516520" w:rsidRP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 xml:space="preserve">W związku z powyższym IGCC postuluje za wywiązaniem się ze składanych deklaracji i jak najszybszym sfinalizowaniem prac nad projektem „Objaśnień podatkowych nr 5: Obowiązek sporządzenia lokalnej dokumentacji cen transferowych dla tzw. pośrednich transakcji rajowych, o którym mowa w art. 11o ust. 1a i 1b ustawy o CIT oraz art. 23za ust. 1a i 1b ustawy o PIT” (dalej: </w:t>
      </w:r>
      <w:r w:rsidRPr="00516520">
        <w:rPr>
          <w:rFonts w:ascii="Trebuchet MS" w:hAnsi="Trebuchet MS" w:cs="Arial"/>
          <w:b/>
          <w:bCs/>
          <w:sz w:val="20"/>
          <w:szCs w:val="20"/>
        </w:rPr>
        <w:t>Projekt Objaśnień</w:t>
      </w:r>
      <w:r w:rsidRPr="00516520">
        <w:rPr>
          <w:rFonts w:ascii="Trebuchet MS" w:hAnsi="Trebuchet MS" w:cs="Arial"/>
          <w:sz w:val="20"/>
          <w:szCs w:val="20"/>
        </w:rPr>
        <w:t xml:space="preserve">), poprzez rozstrzygnięcie dylematów interpretacyjnych powstałych na kanwie przepisów art. 11o Ustawy o CIT w brzmieniu obowiązującym od dnia 1 stycznia 2021 r. i które zostały zgłoszone między innymi w trybie prowadzonych konsultacji. </w:t>
      </w:r>
    </w:p>
    <w:p w14:paraId="7A69F4D9" w14:textId="77777777" w:rsidR="00516520" w:rsidRPr="00516520" w:rsidRDefault="00516520" w:rsidP="00C904DE">
      <w:pPr>
        <w:tabs>
          <w:tab w:val="left" w:pos="2694"/>
        </w:tabs>
        <w:spacing w:after="120" w:line="360" w:lineRule="auto"/>
        <w:jc w:val="both"/>
        <w:rPr>
          <w:rFonts w:ascii="Trebuchet MS" w:hAnsi="Trebuchet MS" w:cs="Arial"/>
          <w:b/>
          <w:bCs/>
          <w:sz w:val="20"/>
          <w:szCs w:val="20"/>
        </w:rPr>
      </w:pPr>
      <w:r w:rsidRPr="00516520">
        <w:rPr>
          <w:rFonts w:ascii="Trebuchet MS" w:hAnsi="Trebuchet MS" w:cs="Arial"/>
          <w:b/>
          <w:bCs/>
          <w:sz w:val="20"/>
          <w:szCs w:val="20"/>
        </w:rPr>
        <w:t xml:space="preserve">Sfinalizowanie prac nad Projektem Objaśnień, pozwali choćby w części (w stosunku do podatników decydujących się na wybór reżimu prawnego obwiązującego od dnia 1 stycznia 2021 r.), ułatwi wywiązanie się z ponadwymiarowych obowiązków nałożonych przepisami art. 11o Ustawy o CIT.     </w:t>
      </w:r>
    </w:p>
    <w:p w14:paraId="4DE314E1" w14:textId="77777777" w:rsidR="00516520" w:rsidRP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 xml:space="preserve">W dalszej części niniejszego zgłoszenia IGCC prezentuje swoje postulaty odnośnie do poszczególnych jednostek redakcyjnych Projektu Ustawy oraz odnosi się do delegacji ustawowej, przewidzianej w art. 11j ust. 2 Ustawy o CIT.   </w:t>
      </w:r>
    </w:p>
    <w:p w14:paraId="1E37D39D" w14:textId="77777777" w:rsidR="00C904DE" w:rsidRPr="00516520" w:rsidRDefault="00C904DE" w:rsidP="00C904DE">
      <w:pPr>
        <w:tabs>
          <w:tab w:val="left" w:pos="2694"/>
        </w:tabs>
        <w:spacing w:after="120" w:line="360" w:lineRule="auto"/>
        <w:jc w:val="both"/>
        <w:rPr>
          <w:rFonts w:ascii="Trebuchet MS" w:hAnsi="Trebuchet MS" w:cs="Arial"/>
          <w:sz w:val="20"/>
          <w:szCs w:val="20"/>
        </w:rPr>
      </w:pPr>
    </w:p>
    <w:p w14:paraId="1D3AE518" w14:textId="77777777" w:rsidR="00516520" w:rsidRPr="00516520" w:rsidRDefault="00516520" w:rsidP="00C904DE">
      <w:pPr>
        <w:pStyle w:val="Akapitzlist"/>
        <w:numPr>
          <w:ilvl w:val="0"/>
          <w:numId w:val="14"/>
        </w:num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 xml:space="preserve"> </w:t>
      </w:r>
      <w:r w:rsidRPr="00516520">
        <w:rPr>
          <w:rFonts w:ascii="Trebuchet MS" w:eastAsiaTheme="majorEastAsia" w:hAnsi="Trebuchet MS" w:cstheme="majorBidi"/>
          <w:b/>
          <w:sz w:val="20"/>
          <w:szCs w:val="20"/>
        </w:rPr>
        <w:t>UWAGI DO PSZECZEGÓLNYCH JEDNOSTEK REDAKCYJNYCH PROJEKTU USTAWY</w:t>
      </w:r>
    </w:p>
    <w:p w14:paraId="77739E03" w14:textId="77777777" w:rsidR="00516520" w:rsidRPr="00516520" w:rsidRDefault="00516520" w:rsidP="00C904DE">
      <w:pPr>
        <w:keepNext/>
        <w:tabs>
          <w:tab w:val="left" w:pos="2694"/>
        </w:tabs>
        <w:suppressAutoHyphens/>
        <w:spacing w:before="240" w:after="120" w:line="360" w:lineRule="auto"/>
        <w:jc w:val="both"/>
        <w:rPr>
          <w:rFonts w:ascii="Trebuchet MS" w:eastAsiaTheme="majorEastAsia" w:hAnsi="Trebuchet MS" w:cstheme="majorBidi"/>
          <w:b/>
          <w:sz w:val="20"/>
          <w:szCs w:val="20"/>
        </w:rPr>
      </w:pPr>
      <w:r w:rsidRPr="00516520">
        <w:rPr>
          <w:rFonts w:ascii="Trebuchet MS" w:eastAsiaTheme="majorEastAsia" w:hAnsi="Trebuchet MS" w:cstheme="majorBidi"/>
          <w:b/>
          <w:sz w:val="20"/>
          <w:szCs w:val="20"/>
        </w:rPr>
        <w:t xml:space="preserve">Art. 1 pkt 5 Projektu Ustawy (art. 11o ust. 1 Ustawy o CIT) </w:t>
      </w:r>
    </w:p>
    <w:p w14:paraId="2981C031" w14:textId="77777777" w:rsidR="00516520" w:rsidRP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W świetle nowo projektowanego art. 11o ust. 1 i ust. 2 Ustawy o CIT, progi materialne skutkujące obowiązkiem dokumentacyjnym zostaną podniesione odpowiednio do wartości:</w:t>
      </w:r>
    </w:p>
    <w:p w14:paraId="71B6EF3D" w14:textId="77777777" w:rsidR="00516520" w:rsidRPr="00516520" w:rsidRDefault="00516520" w:rsidP="00C904DE">
      <w:pPr>
        <w:pStyle w:val="Akapitzlist"/>
        <w:numPr>
          <w:ilvl w:val="0"/>
          <w:numId w:val="15"/>
        </w:numPr>
        <w:tabs>
          <w:tab w:val="left" w:pos="2694"/>
        </w:tabs>
        <w:spacing w:after="120" w:line="360" w:lineRule="auto"/>
        <w:jc w:val="both"/>
        <w:rPr>
          <w:rFonts w:ascii="Trebuchet MS" w:eastAsiaTheme="minorHAnsi" w:hAnsi="Trebuchet MS" w:cs="Arial"/>
          <w:sz w:val="20"/>
          <w:szCs w:val="20"/>
        </w:rPr>
      </w:pPr>
      <w:r w:rsidRPr="00516520">
        <w:rPr>
          <w:rFonts w:ascii="Trebuchet MS" w:eastAsiaTheme="minorHAnsi" w:hAnsi="Trebuchet MS" w:cs="Arial"/>
          <w:sz w:val="20"/>
          <w:szCs w:val="20"/>
        </w:rPr>
        <w:t>200 000 PLN w przypadku tak zwanych bezpośrednich transakcji rajowych,</w:t>
      </w:r>
    </w:p>
    <w:p w14:paraId="1204F664" w14:textId="77777777" w:rsidR="00516520" w:rsidRPr="00516520" w:rsidRDefault="00516520" w:rsidP="00C904DE">
      <w:pPr>
        <w:pStyle w:val="Akapitzlist"/>
        <w:numPr>
          <w:ilvl w:val="0"/>
          <w:numId w:val="15"/>
        </w:numPr>
        <w:tabs>
          <w:tab w:val="left" w:pos="2694"/>
        </w:tabs>
        <w:spacing w:after="120" w:line="360" w:lineRule="auto"/>
        <w:jc w:val="both"/>
        <w:rPr>
          <w:rFonts w:ascii="Trebuchet MS" w:eastAsiaTheme="minorHAnsi" w:hAnsi="Trebuchet MS" w:cs="Arial"/>
          <w:sz w:val="20"/>
          <w:szCs w:val="20"/>
        </w:rPr>
      </w:pPr>
      <w:r w:rsidRPr="00516520">
        <w:rPr>
          <w:rFonts w:ascii="Trebuchet MS" w:eastAsiaTheme="minorHAnsi" w:hAnsi="Trebuchet MS" w:cs="Arial"/>
          <w:sz w:val="20"/>
          <w:szCs w:val="20"/>
        </w:rPr>
        <w:t>2 500 000 PLN w przypadku tak zwanych pośrednich transakcji rajowych o charakterze towarowym lub finansowym.</w:t>
      </w:r>
    </w:p>
    <w:p w14:paraId="636D1E49" w14:textId="77777777" w:rsidR="00516520" w:rsidRP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IGCC zwraca uwagę na pozostawienie progu materialności na poziomie 500 000 PLN dla pośrednich transakcji rajowych o charakterze innym, niż transakcje towarowe czy też finansowe. Tym samym w świetle Projektu Ustawy, dotychczasowy próg pół miliona złotych będzie miał zastosowanie chociażby do pośrednich transakcji rajowych o charakterze usługowym.</w:t>
      </w:r>
    </w:p>
    <w:p w14:paraId="6C2FCD0E" w14:textId="77777777" w:rsidR="00516520" w:rsidRP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 xml:space="preserve">IGCC postuluje za symetrycznym podniesieniem progów dokumentacyjnych dla tak zwanych pośrednich transakcji rajowych poprzez podniesienie progu dokumentacyjnego również dla transakcji innych niż te o charakterze towarowym czy finansowym, o których mowa w projektowanym art. 11o ust. 1 pkt 2 Ustawy o CIT. </w:t>
      </w:r>
    </w:p>
    <w:p w14:paraId="00DA7991" w14:textId="77777777" w:rsidR="00516520" w:rsidRPr="00516520" w:rsidRDefault="00516520" w:rsidP="00C904DE">
      <w:pPr>
        <w:tabs>
          <w:tab w:val="left" w:pos="2694"/>
        </w:tabs>
        <w:spacing w:after="120" w:line="360" w:lineRule="auto"/>
        <w:jc w:val="both"/>
        <w:rPr>
          <w:rFonts w:ascii="Trebuchet MS" w:hAnsi="Trebuchet MS" w:cs="Arial"/>
          <w:b/>
          <w:bCs/>
          <w:sz w:val="20"/>
          <w:szCs w:val="20"/>
        </w:rPr>
      </w:pPr>
      <w:r w:rsidRPr="00516520">
        <w:rPr>
          <w:rFonts w:ascii="Trebuchet MS" w:hAnsi="Trebuchet MS" w:cs="Arial"/>
          <w:b/>
          <w:bCs/>
          <w:sz w:val="20"/>
          <w:szCs w:val="20"/>
        </w:rPr>
        <w:t xml:space="preserve">Nawiązując do proponowanego odesłania do przepisów art. 11k ustawy o CIT (odpowiednie stosowanie) oraz mając na względzie dysproporcję obciążeń administracyjnych względem zakładanych celów aktualnie obowiązujących regulacji art. 11o Ustawy o CIT, w opinii Podmiotu Zainteresowanego zasadnym jest podniesienie progów dokumentacyjnych dla tak zwanych pośrednich transakcji rajowych do poziomu określonego przepisami art. 11k ust. 2 Ustawy o CIT (10 000 000 zł dla transakcji towarowych i finansowych oraz 2 000 000 zł dla transakcji o charakterze usługowym i innym). </w:t>
      </w:r>
    </w:p>
    <w:p w14:paraId="58765D4E" w14:textId="4225832C" w:rsidR="00516520" w:rsidRPr="00516520" w:rsidRDefault="00516520" w:rsidP="00C904DE">
      <w:pPr>
        <w:tabs>
          <w:tab w:val="left" w:pos="2694"/>
        </w:tabs>
        <w:spacing w:after="120" w:line="360" w:lineRule="auto"/>
        <w:jc w:val="both"/>
        <w:rPr>
          <w:rFonts w:ascii="Trebuchet MS" w:hAnsi="Trebuchet MS" w:cs="Arial"/>
          <w:b/>
          <w:bCs/>
          <w:sz w:val="20"/>
          <w:szCs w:val="20"/>
        </w:rPr>
      </w:pPr>
      <w:r w:rsidRPr="00516520">
        <w:rPr>
          <w:rFonts w:ascii="Trebuchet MS" w:hAnsi="Trebuchet MS" w:cs="Arial"/>
          <w:b/>
          <w:bCs/>
          <w:sz w:val="20"/>
          <w:szCs w:val="20"/>
        </w:rPr>
        <w:t xml:space="preserve">W zakresie zaś transakcji rajowych o tak zwanym charakterze bezpośrednim (por. projektowany przepis art. 11o ust. 1 pkt 1 Ustawy o CIT, IGCC postuluje za jego podniesieniem do określonego w dotychczas obowiązującym art. 11o ust. 1a Ustawy o CIT progu o wartości </w:t>
      </w:r>
      <w:r w:rsidR="003D3A8C">
        <w:rPr>
          <w:rFonts w:ascii="Trebuchet MS" w:hAnsi="Trebuchet MS" w:cs="Arial"/>
          <w:b/>
          <w:bCs/>
          <w:sz w:val="20"/>
          <w:szCs w:val="20"/>
        </w:rPr>
        <w:t>2 0</w:t>
      </w:r>
      <w:r w:rsidRPr="00516520">
        <w:rPr>
          <w:rFonts w:ascii="Trebuchet MS" w:hAnsi="Trebuchet MS" w:cs="Arial"/>
          <w:b/>
          <w:bCs/>
          <w:sz w:val="20"/>
          <w:szCs w:val="20"/>
        </w:rPr>
        <w:t xml:space="preserve">00 000 zł. </w:t>
      </w:r>
    </w:p>
    <w:p w14:paraId="55A0F97C" w14:textId="77777777" w:rsidR="00516520" w:rsidRP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 xml:space="preserve">Niezależnie od powyższego, IGCC pragnie również zwrócić uwagę na projektowane odesłania do odpowiedniego stosowania przepisów Rozdziału 1a Ustawy o CIT. IGCC postuluje za doprecyzowaniem, które z przepisów Ustawy o CIT stosuje się odpowiednio do transakcji kontrolowanych a które do transakcji innych niż transakcje kontrolowane, np. w odniesieniu do obowiązku agregowania transakcji „per kontrahent”, o którym mowa w art. 11k ust. 4 Ustawy o CIT.   </w:t>
      </w:r>
    </w:p>
    <w:p w14:paraId="1B8FFFC3" w14:textId="77777777" w:rsidR="00516520" w:rsidRPr="00516520" w:rsidRDefault="00516520" w:rsidP="00C904DE">
      <w:pPr>
        <w:keepNext/>
        <w:tabs>
          <w:tab w:val="left" w:pos="2694"/>
        </w:tabs>
        <w:suppressAutoHyphens/>
        <w:spacing w:before="240" w:after="120" w:line="360" w:lineRule="auto"/>
        <w:jc w:val="both"/>
        <w:rPr>
          <w:rFonts w:ascii="Trebuchet MS" w:eastAsiaTheme="majorEastAsia" w:hAnsi="Trebuchet MS" w:cstheme="majorBidi"/>
          <w:b/>
          <w:sz w:val="20"/>
          <w:szCs w:val="20"/>
        </w:rPr>
      </w:pPr>
      <w:r w:rsidRPr="00516520">
        <w:rPr>
          <w:rFonts w:ascii="Trebuchet MS" w:eastAsiaTheme="majorEastAsia" w:hAnsi="Trebuchet MS" w:cstheme="majorBidi"/>
          <w:b/>
          <w:sz w:val="20"/>
          <w:szCs w:val="20"/>
        </w:rPr>
        <w:t xml:space="preserve">Art. 1 pkt 5 Projektu Ustawy (art. 11o ust. 2 Ustawy o CIT) </w:t>
      </w:r>
    </w:p>
    <w:p w14:paraId="7E539D06" w14:textId="77777777" w:rsidR="00516520" w:rsidRP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sz w:val="20"/>
          <w:szCs w:val="20"/>
        </w:rPr>
        <w:t xml:space="preserve">Zgodnie z treścią uzasadnienia, </w:t>
      </w:r>
      <w:r w:rsidRPr="00516520">
        <w:rPr>
          <w:rFonts w:ascii="Trebuchet MS" w:hAnsi="Trebuchet MS" w:cs="Arial"/>
          <w:sz w:val="20"/>
          <w:szCs w:val="20"/>
        </w:rPr>
        <w:t>projektowany art. 11o ust. 2 Ustawy o CIT przewiduje ograniczenie obowiązku dokumentacyjnego w relacjach krajowych. Dotyczyć on będzie tzw. transakcji krajowych, czyli takich, gdzie podmiot wypłacający i otrzymujący należność podlegają jurysdykcji krajowej. Przy czym w ust. 2 proponuje się, aby obowiązek dokumentacyjny ciążył jedynie na podmiocie otrzymującym należność wynikającą z dokonywanej transakcji.</w:t>
      </w:r>
    </w:p>
    <w:p w14:paraId="68BBF06E" w14:textId="77777777" w:rsidR="00516520" w:rsidRPr="00516520" w:rsidRDefault="00516520" w:rsidP="00C904DE">
      <w:pPr>
        <w:tabs>
          <w:tab w:val="left" w:pos="2694"/>
        </w:tabs>
        <w:spacing w:after="120" w:line="360" w:lineRule="auto"/>
        <w:jc w:val="both"/>
        <w:rPr>
          <w:rFonts w:ascii="Trebuchet MS" w:hAnsi="Trebuchet MS" w:cs="Arial"/>
          <w:b/>
          <w:bCs/>
          <w:sz w:val="20"/>
          <w:szCs w:val="20"/>
        </w:rPr>
      </w:pPr>
      <w:r w:rsidRPr="00516520">
        <w:rPr>
          <w:rFonts w:ascii="Trebuchet MS" w:hAnsi="Trebuchet MS" w:cs="Arial"/>
          <w:b/>
          <w:bCs/>
          <w:sz w:val="20"/>
          <w:szCs w:val="20"/>
        </w:rPr>
        <w:t xml:space="preserve">Mając na względzie intencje projektodawcy ukierunkowane na ograniczenie obowiązków dokumentacyjnych w stosunku do tak zwanych transakcji krajowych, IGCC postuluje za całkowitym zniesieniem obowiązków dokumentacyjnym w stosunku do przedmiotowych transakcji. W ocenie Podmiotu zainteresowanego krajowy podmiot dokonujący rozliczeń z tzw. Podmiotem rajowym podlega pod regulacje związane z dokumentowaniem bezpośrednich transakcji rajowych zatem utrzymanie ustępu 2 (nowego art. 11o Ustawy o CIT) stanowi </w:t>
      </w:r>
      <w:r w:rsidRPr="00516520">
        <w:rPr>
          <w:rFonts w:ascii="Trebuchet MS" w:hAnsi="Trebuchet MS" w:cs="Arial"/>
          <w:b/>
          <w:bCs/>
          <w:i/>
          <w:iCs/>
          <w:sz w:val="20"/>
          <w:szCs w:val="20"/>
        </w:rPr>
        <w:t>de facto</w:t>
      </w:r>
      <w:r w:rsidRPr="00516520">
        <w:rPr>
          <w:rFonts w:ascii="Trebuchet MS" w:hAnsi="Trebuchet MS" w:cs="Arial"/>
          <w:b/>
          <w:bCs/>
          <w:sz w:val="20"/>
          <w:szCs w:val="20"/>
        </w:rPr>
        <w:t xml:space="preserve"> dublowanie obowiązków dokumentacyjnych i nie wnosi dodatkowych informacji dla administracji podatkowej.</w:t>
      </w:r>
    </w:p>
    <w:p w14:paraId="0D03928B" w14:textId="627E053F" w:rsidR="00516520" w:rsidRPr="00516520" w:rsidRDefault="00516520" w:rsidP="00C904DE">
      <w:pPr>
        <w:tabs>
          <w:tab w:val="left" w:pos="2694"/>
        </w:tabs>
        <w:spacing w:after="120" w:line="360" w:lineRule="auto"/>
        <w:jc w:val="both"/>
        <w:rPr>
          <w:rFonts w:ascii="Trebuchet MS" w:hAnsi="Trebuchet MS" w:cs="Arial"/>
          <w:b/>
          <w:bCs/>
          <w:sz w:val="20"/>
          <w:szCs w:val="20"/>
        </w:rPr>
      </w:pPr>
      <w:r w:rsidRPr="00516520">
        <w:rPr>
          <w:rFonts w:ascii="Trebuchet MS" w:hAnsi="Trebuchet MS" w:cs="Arial"/>
          <w:b/>
          <w:bCs/>
          <w:sz w:val="20"/>
          <w:szCs w:val="20"/>
        </w:rPr>
        <w:t>Alternatywnie IGCC wnosi za rozszerzeniem zakresu obowiązujących przepisów art. 11n Ustawy o CIT (w szczególności pkt 1) o transakcje o których mowa w nowo projektowanym art. 11o ust. 2 Ustawy o CIT.</w:t>
      </w:r>
    </w:p>
    <w:p w14:paraId="5D198528" w14:textId="77777777" w:rsidR="00516520" w:rsidRPr="00516520" w:rsidRDefault="00516520" w:rsidP="00C904DE">
      <w:pPr>
        <w:keepNext/>
        <w:tabs>
          <w:tab w:val="left" w:pos="2694"/>
        </w:tabs>
        <w:suppressAutoHyphens/>
        <w:spacing w:before="240" w:after="120" w:line="360" w:lineRule="auto"/>
        <w:jc w:val="both"/>
        <w:rPr>
          <w:rFonts w:ascii="Trebuchet MS" w:eastAsiaTheme="majorEastAsia" w:hAnsi="Trebuchet MS" w:cstheme="majorBidi"/>
          <w:b/>
          <w:sz w:val="20"/>
          <w:szCs w:val="20"/>
        </w:rPr>
      </w:pPr>
      <w:r w:rsidRPr="00516520">
        <w:rPr>
          <w:rFonts w:ascii="Trebuchet MS" w:eastAsiaTheme="majorEastAsia" w:hAnsi="Trebuchet MS" w:cstheme="majorBidi"/>
          <w:b/>
          <w:sz w:val="20"/>
          <w:szCs w:val="20"/>
        </w:rPr>
        <w:t xml:space="preserve">Art. 1 pkt 5 Projektu Ustawy (art. 11o ust. 3 Ustawy o CIT) </w:t>
      </w:r>
    </w:p>
    <w:p w14:paraId="3716453F" w14:textId="2BDA63EC" w:rsidR="00516520" w:rsidRP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W opinii Podmiotu Zainteresowanego, projektowane przepisy art. 11o ust. 3 Ustawy o CIT wymagają doprecyzowania. Aktualne brzmienie proponowanej jednostki redakcyjnej wzbudza uzasadnione wątpliwości interpretacyjne. Odwołanie się do „podatnika lub spółki niebędącej osobą prawną obowiązanych do sporządzenia lokalnej dokumentacji cen transferowych” wydaje się m. in. niezgodne z intencją projektodawcy</w:t>
      </w:r>
      <w:r w:rsidR="006A6095">
        <w:rPr>
          <w:rFonts w:ascii="Trebuchet MS" w:hAnsi="Trebuchet MS" w:cs="Arial"/>
          <w:sz w:val="20"/>
          <w:szCs w:val="20"/>
        </w:rPr>
        <w:t>, co z kolei zostało potwierdzone podczas spotkania roboczego przeprowadzonego w ramach Forum Cen Transferowych (7 lipca 2022 r.)</w:t>
      </w:r>
      <w:r w:rsidRPr="00516520">
        <w:rPr>
          <w:rFonts w:ascii="Trebuchet MS" w:hAnsi="Trebuchet MS" w:cs="Arial"/>
          <w:sz w:val="20"/>
          <w:szCs w:val="20"/>
        </w:rPr>
        <w:t xml:space="preserve">. W treści uzasadnienia projektu dotyczącego tego przepisu (str. 35-36) mowa jest bowiem o „podmiocie otrzymującym należność wynikającą z transakcji”, co ma inne znaczenie niż użyte w projektowanym art. 11o ust. 3 Ustawy o CIT sformułowanie „podmiot obowiązany do sporządzenia dokumentacji” i tym samym w inny sposób definiuje adresata normy. </w:t>
      </w:r>
    </w:p>
    <w:p w14:paraId="6C6B4312" w14:textId="422058D9" w:rsidR="00516520" w:rsidRP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cs="Arial"/>
          <w:b/>
          <w:bCs/>
          <w:sz w:val="20"/>
          <w:szCs w:val="20"/>
        </w:rPr>
        <w:t xml:space="preserve">Mając na uwadze między innymi powyższe IGCC </w:t>
      </w:r>
      <w:r w:rsidR="006A6095">
        <w:rPr>
          <w:rFonts w:ascii="Trebuchet MS" w:hAnsi="Trebuchet MS" w:cs="Arial"/>
          <w:b/>
          <w:bCs/>
          <w:sz w:val="20"/>
          <w:szCs w:val="20"/>
        </w:rPr>
        <w:t>postuluje za szerokim zakresem</w:t>
      </w:r>
      <w:r w:rsidRPr="00516520">
        <w:rPr>
          <w:rFonts w:ascii="Trebuchet MS" w:hAnsi="Trebuchet MS" w:cs="Arial"/>
          <w:b/>
          <w:bCs/>
          <w:sz w:val="20"/>
          <w:szCs w:val="20"/>
        </w:rPr>
        <w:t xml:space="preserve"> stosowania wyłączenia o którym mowa w projektowanym przepisie art. 11o ust. 3 Ustawy o CIT. </w:t>
      </w:r>
      <w:r w:rsidRPr="00516520">
        <w:rPr>
          <w:rFonts w:ascii="Trebuchet MS" w:hAnsi="Trebuchet MS" w:cs="Arial"/>
          <w:sz w:val="20"/>
          <w:szCs w:val="20"/>
        </w:rPr>
        <w:t xml:space="preserve">W szczególności, w opinii Podmiotu zainteresowanego spełnienie przesłanek z art. 11o ust. 3 pkt 1 lub pkt 2 Ustawy o CIT </w:t>
      </w:r>
      <w:r w:rsidR="006A6095">
        <w:rPr>
          <w:rFonts w:ascii="Trebuchet MS" w:hAnsi="Trebuchet MS" w:cs="Arial"/>
          <w:sz w:val="20"/>
          <w:szCs w:val="20"/>
        </w:rPr>
        <w:t xml:space="preserve">powinno </w:t>
      </w:r>
      <w:r w:rsidRPr="00516520">
        <w:rPr>
          <w:rFonts w:ascii="Trebuchet MS" w:hAnsi="Trebuchet MS" w:cs="Arial"/>
          <w:sz w:val="20"/>
          <w:szCs w:val="20"/>
        </w:rPr>
        <w:t>skutk</w:t>
      </w:r>
      <w:r w:rsidR="006A6095">
        <w:rPr>
          <w:rFonts w:ascii="Trebuchet MS" w:hAnsi="Trebuchet MS" w:cs="Arial"/>
          <w:sz w:val="20"/>
          <w:szCs w:val="20"/>
        </w:rPr>
        <w:t>ować</w:t>
      </w:r>
      <w:r w:rsidRPr="00516520">
        <w:rPr>
          <w:rFonts w:ascii="Trebuchet MS" w:hAnsi="Trebuchet MS" w:cs="Arial"/>
          <w:sz w:val="20"/>
          <w:szCs w:val="20"/>
        </w:rPr>
        <w:t xml:space="preserve"> wyłączeniem stosowania przepisów art. 11o ust. 1 pkt 2 zarówno w stosunku do tak zwanych „transakcji krajowych” (por. art. 11o ust. 2 ustawy o CIT) jak i „pozostałych transakcji” (realizowanych z podmiotami „zagranicznymi”). W związku z powyższym IGCC postuluje za przeformułowaniem przepisu art. 11o ust. 3 Ustawy o CIT w ten sposób, aby z przedmiotowej jednostki redakcyjnej wynikało wprost, że spełnienie przesłanek z art. 11o ust. 3 pkt 1 lub pkt 2 Ustawy o CIT wyłączało obowiązek wynikający z art. 11o ust. 1 pkt 2 i tym samym art. 11o ust. 4 Ustawy o CIT. Dodatkowo z przepisów powinno wprost wynikać, że w przypadku gdy podmiot otrzymujący należność jest beneficjentem rzeczywistym (który nie jest tzw. Podmiotem rajowym) nie ma potrzeby weryfikacji na podstawie art. 11o ust. 3 Projektu Ustawy.</w:t>
      </w:r>
    </w:p>
    <w:p w14:paraId="69F90ACA" w14:textId="06BF006E" w:rsidR="00516520" w:rsidRP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 xml:space="preserve">Ponadto, IGCC identyfikuje wątpliwości interpretacyjne w zakresie semantycznie nieostrego pojęcia (…) nie dokonują odpowiednio w roku podatkowym lub roku obrotowym </w:t>
      </w:r>
      <w:r w:rsidRPr="00516520">
        <w:rPr>
          <w:rFonts w:ascii="Trebuchet MS" w:hAnsi="Trebuchet MS" w:cs="Arial"/>
          <w:sz w:val="20"/>
          <w:szCs w:val="20"/>
          <w:u w:val="single"/>
        </w:rPr>
        <w:t>związanych z otrzymaną należnością rozliczeń</w:t>
      </w:r>
      <w:r w:rsidRPr="00516520">
        <w:rPr>
          <w:rFonts w:ascii="Trebuchet MS" w:hAnsi="Trebuchet MS" w:cs="Arial"/>
          <w:sz w:val="20"/>
          <w:szCs w:val="20"/>
        </w:rPr>
        <w:t xml:space="preserve"> (…) w szczególności poprzez doprecyzowanie „bezpośredniego” związku pomiędzy „należnością” a „rozliczeniem”. Ponadto, IGCC postuluje za doprecyzowaniem, że „rozliczenia z podmiotem rajowym” muszą osiągnąć próg materialności o którym mowa w projektowanym art. 11o ust. 1 pkt 2 Ustawy o CIT.   </w:t>
      </w:r>
    </w:p>
    <w:p w14:paraId="121FCDF6" w14:textId="77777777" w:rsidR="00516520" w:rsidRPr="00516520" w:rsidRDefault="00516520" w:rsidP="00C904DE">
      <w:pPr>
        <w:keepNext/>
        <w:tabs>
          <w:tab w:val="left" w:pos="2694"/>
        </w:tabs>
        <w:suppressAutoHyphens/>
        <w:spacing w:before="240" w:after="120" w:line="360" w:lineRule="auto"/>
        <w:jc w:val="both"/>
        <w:rPr>
          <w:rFonts w:ascii="Trebuchet MS" w:eastAsiaTheme="majorEastAsia" w:hAnsi="Trebuchet MS" w:cstheme="majorBidi"/>
          <w:b/>
          <w:sz w:val="20"/>
          <w:szCs w:val="20"/>
        </w:rPr>
      </w:pPr>
      <w:r w:rsidRPr="00516520">
        <w:rPr>
          <w:rFonts w:ascii="Trebuchet MS" w:eastAsiaTheme="majorEastAsia" w:hAnsi="Trebuchet MS" w:cstheme="majorBidi"/>
          <w:b/>
          <w:sz w:val="20"/>
          <w:szCs w:val="20"/>
        </w:rPr>
        <w:t xml:space="preserve">Art. 1 pkt 5 Projektu Ustawy (art. 11o ust. 4 Ustawy o CIT) </w:t>
      </w:r>
    </w:p>
    <w:p w14:paraId="692D2364" w14:textId="6DFD6355" w:rsidR="00516520" w:rsidRP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 xml:space="preserve">Projektowany przepis art. 11o ust. 4 Ustawy o CIT przewiduje możliwość wykazania w oświadczeniu okoliczności, że rzeczywisty właściciel należności nie ma miejsca zamieszkania siedziby lub zarządu w kraju lub na terytorium stosującym szkodliwą konkurencję podatkową. </w:t>
      </w:r>
      <w:r w:rsidRPr="00516520">
        <w:rPr>
          <w:rFonts w:ascii="Trebuchet MS" w:hAnsi="Trebuchet MS" w:cs="Arial"/>
          <w:b/>
          <w:bCs/>
          <w:sz w:val="20"/>
          <w:szCs w:val="20"/>
        </w:rPr>
        <w:t>IGCC postuluje za doprecyzowaniem, że oświadczenie o którym mowa w projektowanym przepisie może być złożone w dowolnej formi</w:t>
      </w:r>
      <w:r w:rsidR="003D3A8C">
        <w:rPr>
          <w:rFonts w:ascii="Trebuchet MS" w:hAnsi="Trebuchet MS" w:cs="Arial"/>
          <w:b/>
          <w:bCs/>
          <w:sz w:val="20"/>
          <w:szCs w:val="20"/>
        </w:rPr>
        <w:t xml:space="preserve">e, </w:t>
      </w:r>
      <w:r w:rsidR="003D3A8C" w:rsidRPr="005846C9">
        <w:rPr>
          <w:rFonts w:ascii="Trebuchet MS" w:hAnsi="Trebuchet MS" w:cs="Arial"/>
          <w:sz w:val="20"/>
          <w:szCs w:val="20"/>
        </w:rPr>
        <w:t>w tym</w:t>
      </w:r>
      <w:r w:rsidR="00342EE2">
        <w:rPr>
          <w:rFonts w:ascii="Trebuchet MS" w:hAnsi="Trebuchet MS" w:cs="Arial"/>
          <w:sz w:val="20"/>
          <w:szCs w:val="20"/>
        </w:rPr>
        <w:t xml:space="preserve"> aby</w:t>
      </w:r>
      <w:r w:rsidR="003D3A8C">
        <w:rPr>
          <w:rFonts w:ascii="Trebuchet MS" w:hAnsi="Trebuchet MS" w:cs="Arial"/>
          <w:b/>
          <w:bCs/>
          <w:sz w:val="20"/>
          <w:szCs w:val="20"/>
        </w:rPr>
        <w:t xml:space="preserve"> </w:t>
      </w:r>
      <w:r w:rsidR="003D3A8C" w:rsidRPr="005846C9">
        <w:rPr>
          <w:rFonts w:ascii="Trebuchet MS" w:hAnsi="Trebuchet MS" w:cs="Arial"/>
          <w:sz w:val="20"/>
          <w:szCs w:val="20"/>
        </w:rPr>
        <w:t>nie wymagało formy pisemnej ani podpisu zgodnego z</w:t>
      </w:r>
      <w:r w:rsidR="000C4D5C">
        <w:rPr>
          <w:rFonts w:ascii="Trebuchet MS" w:hAnsi="Trebuchet MS" w:cs="Arial"/>
          <w:sz w:val="20"/>
          <w:szCs w:val="20"/>
        </w:rPr>
        <w:t> </w:t>
      </w:r>
      <w:r w:rsidR="003D3A8C" w:rsidRPr="005846C9">
        <w:rPr>
          <w:rFonts w:ascii="Trebuchet MS" w:hAnsi="Trebuchet MS" w:cs="Arial"/>
          <w:sz w:val="20"/>
          <w:szCs w:val="20"/>
        </w:rPr>
        <w:t>reprezentacj</w:t>
      </w:r>
      <w:r w:rsidR="000C4D5C">
        <w:rPr>
          <w:rFonts w:ascii="Trebuchet MS" w:hAnsi="Trebuchet MS" w:cs="Arial"/>
          <w:sz w:val="20"/>
          <w:szCs w:val="20"/>
        </w:rPr>
        <w:t>ą</w:t>
      </w:r>
      <w:r w:rsidR="003D3A8C" w:rsidRPr="005846C9">
        <w:rPr>
          <w:rFonts w:ascii="Trebuchet MS" w:hAnsi="Trebuchet MS" w:cs="Arial"/>
          <w:sz w:val="20"/>
          <w:szCs w:val="20"/>
        </w:rPr>
        <w:t xml:space="preserve"> lub podpisu kwalifikowanego</w:t>
      </w:r>
      <w:r w:rsidR="000C4D5C">
        <w:rPr>
          <w:rFonts w:ascii="Trebuchet MS" w:hAnsi="Trebuchet MS" w:cs="Arial"/>
          <w:sz w:val="20"/>
          <w:szCs w:val="20"/>
        </w:rPr>
        <w:t>,</w:t>
      </w:r>
      <w:r w:rsidR="003D3A8C" w:rsidRPr="005846C9">
        <w:rPr>
          <w:rFonts w:ascii="Trebuchet MS" w:hAnsi="Trebuchet MS" w:cs="Arial"/>
          <w:sz w:val="20"/>
          <w:szCs w:val="20"/>
        </w:rPr>
        <w:t xml:space="preserve"> co </w:t>
      </w:r>
      <w:r w:rsidR="000C4D5C">
        <w:rPr>
          <w:rFonts w:ascii="Trebuchet MS" w:hAnsi="Trebuchet MS" w:cs="Arial"/>
          <w:sz w:val="20"/>
          <w:szCs w:val="20"/>
        </w:rPr>
        <w:t>jest szczególnie</w:t>
      </w:r>
      <w:r w:rsidR="003D3A8C" w:rsidRPr="005846C9">
        <w:rPr>
          <w:rFonts w:ascii="Trebuchet MS" w:hAnsi="Trebuchet MS" w:cs="Arial"/>
          <w:sz w:val="20"/>
          <w:szCs w:val="20"/>
        </w:rPr>
        <w:t xml:space="preserve"> problematyczne w przypadku zagranicznych kontrahentów</w:t>
      </w:r>
      <w:r w:rsidRPr="00ED4925">
        <w:rPr>
          <w:rFonts w:ascii="Trebuchet MS" w:hAnsi="Trebuchet MS" w:cs="Arial"/>
          <w:sz w:val="20"/>
          <w:szCs w:val="20"/>
        </w:rPr>
        <w:t>.</w:t>
      </w:r>
      <w:r w:rsidRPr="00516520">
        <w:rPr>
          <w:rFonts w:ascii="Trebuchet MS" w:hAnsi="Trebuchet MS" w:cs="Arial"/>
          <w:b/>
          <w:bCs/>
          <w:sz w:val="20"/>
          <w:szCs w:val="20"/>
        </w:rPr>
        <w:t xml:space="preserve"> W zakresie zaś umocowania do złożenia oświadczenia, IGCC postuluje za doprecyzowaniem braku przymusu składania go zgodnie z reprezentacją czy też wymagania szczególnej formy umocowania do jego złożenia</w:t>
      </w:r>
      <w:r w:rsidRPr="00516520">
        <w:rPr>
          <w:rFonts w:ascii="Trebuchet MS" w:hAnsi="Trebuchet MS" w:cs="Arial"/>
          <w:sz w:val="20"/>
          <w:szCs w:val="20"/>
        </w:rPr>
        <w:t>.</w:t>
      </w:r>
    </w:p>
    <w:p w14:paraId="03B3A90B" w14:textId="77777777" w:rsidR="00516520" w:rsidRP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Ponadto, w nawiązaniu do instytucji oświadczenia o którym mowa zarówno w projektowanym przepisie art. 11o ust. 4 Ustawy o CIT jak i przede wszystkim Projekcie Objaśnień (odnoszącym się do przepisów art. 11o Ustawy o CIT w aktualnym brzmieniu)</w:t>
      </w:r>
      <w:r w:rsidRPr="00516520">
        <w:rPr>
          <w:rFonts w:ascii="Trebuchet MS" w:hAnsi="Trebuchet MS" w:cs="Arial"/>
          <w:b/>
          <w:bCs/>
          <w:sz w:val="20"/>
          <w:szCs w:val="20"/>
        </w:rPr>
        <w:t>, IGCC postuluje aby udokumentowany fakt doręczenia do kontrahenta „oświadczenia rajowego” był równoznaczny z dochowaniem należytej staranności pod kątem weryfikacji rezydencji rzeczywistego właściciela należności, bez konieczności podejmowania dodatkowych czynności weryfikacyjnych</w:t>
      </w:r>
      <w:r w:rsidRPr="00516520">
        <w:rPr>
          <w:rFonts w:ascii="Trebuchet MS" w:hAnsi="Trebuchet MS" w:cs="Arial"/>
          <w:sz w:val="20"/>
          <w:szCs w:val="20"/>
        </w:rPr>
        <w:t>, nawet w przypadku braku otrzymania podpisanego oświadczenia od kontrahenta (w obecnym stanie prawnym nie ma regulacji zobowiązujących kontrahenta do podpisania oświadczenia).</w:t>
      </w:r>
    </w:p>
    <w:p w14:paraId="356E01F7" w14:textId="77777777" w:rsidR="00516520" w:rsidRPr="00516520" w:rsidRDefault="00516520" w:rsidP="00C904DE">
      <w:pPr>
        <w:keepNext/>
        <w:tabs>
          <w:tab w:val="left" w:pos="2694"/>
        </w:tabs>
        <w:suppressAutoHyphens/>
        <w:spacing w:before="240" w:after="120" w:line="360" w:lineRule="auto"/>
        <w:jc w:val="both"/>
        <w:rPr>
          <w:rFonts w:ascii="Trebuchet MS" w:eastAsiaTheme="majorEastAsia" w:hAnsi="Trebuchet MS" w:cstheme="majorBidi"/>
          <w:b/>
          <w:sz w:val="20"/>
          <w:szCs w:val="20"/>
        </w:rPr>
      </w:pPr>
      <w:r w:rsidRPr="00516520">
        <w:rPr>
          <w:rFonts w:ascii="Trebuchet MS" w:eastAsiaTheme="majorEastAsia" w:hAnsi="Trebuchet MS" w:cstheme="majorBidi"/>
          <w:b/>
          <w:sz w:val="20"/>
          <w:szCs w:val="20"/>
        </w:rPr>
        <w:t>Art. 3  Projektu Ustawy (art. 82 Ordynacji podatkowej)</w:t>
      </w:r>
    </w:p>
    <w:p w14:paraId="584E20DE" w14:textId="77777777" w:rsidR="00516520" w:rsidRP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Na podstawie art. 82 § 1c Ustawy z dnia 29 sierpnia 1997 r. Ordynacja podatkowa (dalej: </w:t>
      </w:r>
      <w:r w:rsidRPr="00516520">
        <w:rPr>
          <w:rFonts w:ascii="Trebuchet MS" w:hAnsi="Trebuchet MS" w:cs="Arial"/>
          <w:b/>
          <w:bCs/>
          <w:sz w:val="20"/>
          <w:szCs w:val="20"/>
        </w:rPr>
        <w:t>Ordynacja Podatkowa</w:t>
      </w:r>
      <w:r w:rsidRPr="00516520">
        <w:rPr>
          <w:rFonts w:ascii="Trebuchet MS" w:hAnsi="Trebuchet MS" w:cs="Arial"/>
          <w:sz w:val="20"/>
          <w:szCs w:val="20"/>
        </w:rPr>
        <w:t>)</w:t>
      </w:r>
      <w:r w:rsidRPr="00516520">
        <w:rPr>
          <w:rStyle w:val="Odwoanieprzypisudolnego"/>
          <w:rFonts w:ascii="Trebuchet MS" w:hAnsi="Trebuchet MS" w:cs="Arial"/>
          <w:sz w:val="20"/>
          <w:szCs w:val="20"/>
        </w:rPr>
        <w:footnoteReference w:id="3"/>
      </w:r>
      <w:r w:rsidRPr="00516520">
        <w:rPr>
          <w:rFonts w:ascii="Trebuchet MS" w:hAnsi="Trebuchet MS" w:cs="Arial"/>
          <w:sz w:val="20"/>
          <w:szCs w:val="20"/>
        </w:rPr>
        <w:t xml:space="preserve"> zwalnia się z obowiązku sporządzania i przekazywania informacji o umowach z nierezydentami (dalej: </w:t>
      </w:r>
      <w:r w:rsidRPr="00516520">
        <w:rPr>
          <w:rFonts w:ascii="Trebuchet MS" w:hAnsi="Trebuchet MS" w:cs="Arial"/>
          <w:b/>
          <w:bCs/>
          <w:sz w:val="20"/>
          <w:szCs w:val="20"/>
        </w:rPr>
        <w:t>ORD-U</w:t>
      </w:r>
      <w:r w:rsidRPr="00516520">
        <w:rPr>
          <w:rFonts w:ascii="Trebuchet MS" w:hAnsi="Trebuchet MS" w:cs="Arial"/>
          <w:sz w:val="20"/>
          <w:szCs w:val="20"/>
        </w:rPr>
        <w:t xml:space="preserve">) podmioty obowiązane do sporządzenia informacji o cenach transferowych (TPR-C). </w:t>
      </w:r>
    </w:p>
    <w:p w14:paraId="484FD112" w14:textId="77777777" w:rsidR="00516520" w:rsidRDefault="00516520" w:rsidP="00C904DE">
      <w:pPr>
        <w:tabs>
          <w:tab w:val="left" w:pos="2694"/>
        </w:tabs>
        <w:spacing w:after="120" w:line="360" w:lineRule="auto"/>
        <w:jc w:val="both"/>
        <w:rPr>
          <w:rFonts w:ascii="Trebuchet MS" w:hAnsi="Trebuchet MS" w:cs="Arial"/>
          <w:b/>
          <w:bCs/>
          <w:sz w:val="20"/>
          <w:szCs w:val="20"/>
        </w:rPr>
      </w:pPr>
      <w:r w:rsidRPr="00516520">
        <w:rPr>
          <w:rFonts w:ascii="Trebuchet MS" w:hAnsi="Trebuchet MS" w:cs="Arial"/>
          <w:sz w:val="20"/>
          <w:szCs w:val="20"/>
        </w:rPr>
        <w:t xml:space="preserve">Z uwagi na istotną rozbieżność w terminach na wywiązanie się z obowiązków TPR-C względem ORD-U oraz uzależnienie zwolnienia z obowiązku sporządzania i przekazywania informacji o umowach z nierezydentami od obowiązków sprawozdawczych w ramach TPR-C, IGCC </w:t>
      </w:r>
      <w:r w:rsidRPr="00516520">
        <w:rPr>
          <w:rFonts w:ascii="Trebuchet MS" w:hAnsi="Trebuchet MS" w:cs="Arial"/>
          <w:b/>
          <w:bCs/>
          <w:sz w:val="20"/>
          <w:szCs w:val="20"/>
        </w:rPr>
        <w:t>postuluje za wydłużeniem terminów na złożenie ORD-U, przynajmniej do czasu analogicznego dla wypełnienia obowiązków informacyjnych w ramach TPR-C.</w:t>
      </w:r>
    </w:p>
    <w:p w14:paraId="3144FD5C" w14:textId="77777777" w:rsidR="00C904DE" w:rsidRDefault="00C904DE" w:rsidP="00C904DE">
      <w:pPr>
        <w:tabs>
          <w:tab w:val="left" w:pos="2694"/>
        </w:tabs>
        <w:spacing w:after="120" w:line="360" w:lineRule="auto"/>
        <w:jc w:val="both"/>
        <w:rPr>
          <w:rFonts w:ascii="Trebuchet MS" w:hAnsi="Trebuchet MS" w:cs="Arial"/>
          <w:b/>
          <w:bCs/>
          <w:sz w:val="20"/>
          <w:szCs w:val="20"/>
        </w:rPr>
      </w:pPr>
    </w:p>
    <w:p w14:paraId="3EB89002" w14:textId="77777777" w:rsidR="00C904DE" w:rsidRPr="00516520" w:rsidRDefault="00C904DE" w:rsidP="00C904DE">
      <w:pPr>
        <w:tabs>
          <w:tab w:val="left" w:pos="2694"/>
        </w:tabs>
        <w:spacing w:after="120" w:line="360" w:lineRule="auto"/>
        <w:jc w:val="both"/>
        <w:rPr>
          <w:rFonts w:ascii="Trebuchet MS" w:hAnsi="Trebuchet MS" w:cs="Arial"/>
          <w:sz w:val="20"/>
          <w:szCs w:val="20"/>
        </w:rPr>
      </w:pPr>
    </w:p>
    <w:p w14:paraId="58A551BA" w14:textId="59DAFE9D" w:rsidR="00FB204B" w:rsidRPr="005846C9" w:rsidRDefault="000E68D6" w:rsidP="00C904DE">
      <w:pPr>
        <w:pStyle w:val="Akapitzlist"/>
        <w:numPr>
          <w:ilvl w:val="0"/>
          <w:numId w:val="14"/>
        </w:numPr>
        <w:tabs>
          <w:tab w:val="left" w:pos="2694"/>
        </w:tabs>
        <w:spacing w:after="120" w:line="360" w:lineRule="auto"/>
        <w:jc w:val="both"/>
        <w:rPr>
          <w:rFonts w:ascii="Trebuchet MS" w:hAnsi="Trebuchet MS" w:cs="Arial"/>
          <w:sz w:val="20"/>
          <w:szCs w:val="20"/>
        </w:rPr>
      </w:pPr>
      <w:r>
        <w:rPr>
          <w:rFonts w:ascii="Trebuchet MS" w:hAnsi="Trebuchet MS" w:cs="Arial"/>
          <w:b/>
          <w:bCs/>
          <w:sz w:val="20"/>
          <w:szCs w:val="20"/>
        </w:rPr>
        <w:t>POSTULATY WYNIKAJĄCE ZE STATUSU LEGILSACYJNEGO PRAC NAD PROJETKEM USTAWY</w:t>
      </w:r>
    </w:p>
    <w:p w14:paraId="7B5FAE11" w14:textId="27E3CB5F" w:rsidR="005C148C" w:rsidRDefault="005C148C" w:rsidP="005C148C">
      <w:pPr>
        <w:tabs>
          <w:tab w:val="left" w:pos="2694"/>
        </w:tabs>
        <w:spacing w:after="120" w:line="360" w:lineRule="auto"/>
        <w:jc w:val="both"/>
        <w:rPr>
          <w:rFonts w:ascii="Trebuchet MS" w:hAnsi="Trebuchet MS" w:cs="Arial"/>
          <w:sz w:val="20"/>
          <w:szCs w:val="20"/>
        </w:rPr>
      </w:pPr>
    </w:p>
    <w:p w14:paraId="68FDB91A" w14:textId="496E176D" w:rsidR="000E68D6" w:rsidRDefault="00E11069" w:rsidP="005C148C">
      <w:pPr>
        <w:tabs>
          <w:tab w:val="left" w:pos="2694"/>
        </w:tabs>
        <w:spacing w:after="120" w:line="360" w:lineRule="auto"/>
        <w:jc w:val="both"/>
        <w:rPr>
          <w:rFonts w:ascii="Trebuchet MS" w:hAnsi="Trebuchet MS" w:cs="Arial"/>
          <w:sz w:val="20"/>
          <w:szCs w:val="20"/>
        </w:rPr>
      </w:pPr>
      <w:r>
        <w:rPr>
          <w:rFonts w:ascii="Trebuchet MS" w:hAnsi="Trebuchet MS" w:cs="Arial"/>
          <w:sz w:val="20"/>
          <w:szCs w:val="20"/>
        </w:rPr>
        <w:t xml:space="preserve">IGCC </w:t>
      </w:r>
      <w:r w:rsidR="004C729A">
        <w:rPr>
          <w:rFonts w:ascii="Trebuchet MS" w:hAnsi="Trebuchet MS" w:cs="Arial"/>
          <w:sz w:val="20"/>
          <w:szCs w:val="20"/>
        </w:rPr>
        <w:t>p</w:t>
      </w:r>
      <w:r>
        <w:rPr>
          <w:rFonts w:ascii="Trebuchet MS" w:hAnsi="Trebuchet MS" w:cs="Arial"/>
          <w:sz w:val="20"/>
          <w:szCs w:val="20"/>
        </w:rPr>
        <w:t>ragnie ponadto wyrazić</w:t>
      </w:r>
      <w:r w:rsidR="004C729A">
        <w:rPr>
          <w:rFonts w:ascii="Trebuchet MS" w:hAnsi="Trebuchet MS" w:cs="Arial"/>
          <w:sz w:val="20"/>
          <w:szCs w:val="20"/>
        </w:rPr>
        <w:t xml:space="preserve"> wątpliwości i </w:t>
      </w:r>
      <w:r>
        <w:rPr>
          <w:rFonts w:ascii="Trebuchet MS" w:hAnsi="Trebuchet MS" w:cs="Arial"/>
          <w:sz w:val="20"/>
          <w:szCs w:val="20"/>
        </w:rPr>
        <w:t xml:space="preserve">obawy w zakresie </w:t>
      </w:r>
      <w:r w:rsidR="009C4CD4">
        <w:rPr>
          <w:rFonts w:ascii="Trebuchet MS" w:hAnsi="Trebuchet MS" w:cs="Arial"/>
          <w:sz w:val="20"/>
          <w:szCs w:val="20"/>
        </w:rPr>
        <w:t>faktycznej możliwości wywiązania się przez podatników z</w:t>
      </w:r>
      <w:r w:rsidR="004C729A">
        <w:rPr>
          <w:rFonts w:ascii="Trebuchet MS" w:hAnsi="Trebuchet MS" w:cs="Arial"/>
          <w:sz w:val="20"/>
          <w:szCs w:val="20"/>
        </w:rPr>
        <w:t xml:space="preserve"> obowiązków nakładanych przepisami art. 11o Ustawy o CIT za rok podatkowy rozpoczynający się po 31 grudnia 2020 r.</w:t>
      </w:r>
      <w:r w:rsidR="00230814">
        <w:rPr>
          <w:rFonts w:ascii="Trebuchet MS" w:hAnsi="Trebuchet MS" w:cs="Arial"/>
          <w:sz w:val="20"/>
          <w:szCs w:val="20"/>
        </w:rPr>
        <w:t xml:space="preserve"> Jak zostało już podniesione na łamach niniejszego pisma, liczne wątpliwości interpretacyjne w zakresie aktualnie obowiązujących przepisów art. 11o Ustawy o CIT nie zostały jeszcze</w:t>
      </w:r>
      <w:r w:rsidR="005374D0">
        <w:rPr>
          <w:rFonts w:ascii="Trebuchet MS" w:hAnsi="Trebuchet MS" w:cs="Arial"/>
          <w:sz w:val="20"/>
          <w:szCs w:val="20"/>
        </w:rPr>
        <w:t xml:space="preserve"> ostatecznie</w:t>
      </w:r>
      <w:r w:rsidR="00230814">
        <w:rPr>
          <w:rFonts w:ascii="Trebuchet MS" w:hAnsi="Trebuchet MS" w:cs="Arial"/>
          <w:sz w:val="20"/>
          <w:szCs w:val="20"/>
        </w:rPr>
        <w:t xml:space="preserve"> rozstrzygnięte w ramach publikacji finalnej wersji Projektu objaśnień. Odnośnie natomiast do retroaktywności zmian projektowanych w ramach </w:t>
      </w:r>
      <w:r w:rsidR="004C41A0">
        <w:rPr>
          <w:rFonts w:ascii="Trebuchet MS" w:hAnsi="Trebuchet MS" w:cs="Arial"/>
          <w:sz w:val="20"/>
          <w:szCs w:val="20"/>
        </w:rPr>
        <w:t>Projektu</w:t>
      </w:r>
      <w:r w:rsidR="00230814">
        <w:rPr>
          <w:rFonts w:ascii="Trebuchet MS" w:hAnsi="Trebuchet MS" w:cs="Arial"/>
          <w:sz w:val="20"/>
          <w:szCs w:val="20"/>
        </w:rPr>
        <w:t xml:space="preserve"> Ustawy,</w:t>
      </w:r>
      <w:r w:rsidR="005374D0">
        <w:rPr>
          <w:rFonts w:ascii="Trebuchet MS" w:hAnsi="Trebuchet MS" w:cs="Arial"/>
          <w:sz w:val="20"/>
          <w:szCs w:val="20"/>
        </w:rPr>
        <w:t xml:space="preserve"> Podmiot Zainteresowany zwraca uwagę na wczesną fazę procesu legislacyjnego co wpływa na</w:t>
      </w:r>
      <w:r w:rsidR="00FF5EB6">
        <w:rPr>
          <w:rFonts w:ascii="Trebuchet MS" w:hAnsi="Trebuchet MS" w:cs="Arial"/>
          <w:sz w:val="20"/>
          <w:szCs w:val="20"/>
        </w:rPr>
        <w:t> </w:t>
      </w:r>
      <w:r w:rsidR="005374D0">
        <w:rPr>
          <w:rFonts w:ascii="Trebuchet MS" w:hAnsi="Trebuchet MS" w:cs="Arial"/>
          <w:sz w:val="20"/>
          <w:szCs w:val="20"/>
        </w:rPr>
        <w:t xml:space="preserve">niepewność po stronie podatników zarówno w zakresie ostatecznego </w:t>
      </w:r>
      <w:r w:rsidR="00FF5EB6">
        <w:rPr>
          <w:rFonts w:ascii="Trebuchet MS" w:hAnsi="Trebuchet MS" w:cs="Arial"/>
          <w:sz w:val="20"/>
          <w:szCs w:val="20"/>
        </w:rPr>
        <w:t>kształtu</w:t>
      </w:r>
      <w:r w:rsidR="005374D0">
        <w:rPr>
          <w:rFonts w:ascii="Trebuchet MS" w:hAnsi="Trebuchet MS" w:cs="Arial"/>
          <w:sz w:val="20"/>
          <w:szCs w:val="20"/>
        </w:rPr>
        <w:t xml:space="preserve"> regulacji jak i</w:t>
      </w:r>
      <w:r w:rsidR="00FF5EB6">
        <w:rPr>
          <w:rFonts w:ascii="Trebuchet MS" w:hAnsi="Trebuchet MS" w:cs="Arial"/>
          <w:sz w:val="20"/>
          <w:szCs w:val="20"/>
        </w:rPr>
        <w:t> </w:t>
      </w:r>
      <w:r w:rsidR="005374D0">
        <w:rPr>
          <w:rFonts w:ascii="Trebuchet MS" w:hAnsi="Trebuchet MS" w:cs="Arial"/>
          <w:sz w:val="20"/>
          <w:szCs w:val="20"/>
        </w:rPr>
        <w:t xml:space="preserve">terminu wejścia w życie </w:t>
      </w:r>
      <w:r w:rsidR="00FF5EB6">
        <w:rPr>
          <w:rFonts w:ascii="Trebuchet MS" w:hAnsi="Trebuchet MS" w:cs="Arial"/>
          <w:sz w:val="20"/>
          <w:szCs w:val="20"/>
        </w:rPr>
        <w:t>Projektu Ustawy.</w:t>
      </w:r>
      <w:r w:rsidR="005374D0">
        <w:rPr>
          <w:rFonts w:ascii="Trebuchet MS" w:hAnsi="Trebuchet MS" w:cs="Arial"/>
          <w:sz w:val="20"/>
          <w:szCs w:val="20"/>
        </w:rPr>
        <w:t xml:space="preserve">  </w:t>
      </w:r>
      <w:r w:rsidR="004C41A0">
        <w:rPr>
          <w:rFonts w:ascii="Trebuchet MS" w:hAnsi="Trebuchet MS" w:cs="Arial"/>
          <w:sz w:val="20"/>
          <w:szCs w:val="20"/>
        </w:rPr>
        <w:t xml:space="preserve"> </w:t>
      </w:r>
      <w:r w:rsidR="00230814">
        <w:rPr>
          <w:rFonts w:ascii="Trebuchet MS" w:hAnsi="Trebuchet MS" w:cs="Arial"/>
          <w:sz w:val="20"/>
          <w:szCs w:val="20"/>
        </w:rPr>
        <w:t xml:space="preserve">   </w:t>
      </w:r>
      <w:r w:rsidR="009C4CD4">
        <w:rPr>
          <w:rFonts w:ascii="Trebuchet MS" w:hAnsi="Trebuchet MS" w:cs="Arial"/>
          <w:sz w:val="20"/>
          <w:szCs w:val="20"/>
        </w:rPr>
        <w:t xml:space="preserve"> </w:t>
      </w:r>
      <w:r>
        <w:rPr>
          <w:rFonts w:ascii="Trebuchet MS" w:hAnsi="Trebuchet MS" w:cs="Arial"/>
          <w:sz w:val="20"/>
          <w:szCs w:val="20"/>
        </w:rPr>
        <w:t xml:space="preserve"> </w:t>
      </w:r>
    </w:p>
    <w:p w14:paraId="10D3111B" w14:textId="6F97BE0B" w:rsidR="00FF5EB6" w:rsidRDefault="00FF5EB6" w:rsidP="005C148C">
      <w:pPr>
        <w:tabs>
          <w:tab w:val="left" w:pos="2694"/>
        </w:tabs>
        <w:spacing w:after="120" w:line="360" w:lineRule="auto"/>
        <w:jc w:val="both"/>
        <w:rPr>
          <w:rFonts w:ascii="Trebuchet MS" w:hAnsi="Trebuchet MS" w:cs="Arial"/>
          <w:b/>
          <w:bCs/>
          <w:sz w:val="20"/>
          <w:szCs w:val="20"/>
        </w:rPr>
      </w:pPr>
      <w:r w:rsidRPr="005846C9">
        <w:rPr>
          <w:rFonts w:ascii="Trebuchet MS" w:hAnsi="Trebuchet MS" w:cs="Arial"/>
          <w:b/>
          <w:bCs/>
          <w:sz w:val="20"/>
          <w:szCs w:val="20"/>
        </w:rPr>
        <w:t>W związku z powyższym IGCC postuluje za nie wyciąganiem negatywnych konsekwencji w</w:t>
      </w:r>
      <w:r>
        <w:rPr>
          <w:rFonts w:ascii="Trebuchet MS" w:hAnsi="Trebuchet MS" w:cs="Arial"/>
          <w:b/>
          <w:bCs/>
          <w:sz w:val="20"/>
          <w:szCs w:val="20"/>
        </w:rPr>
        <w:t> </w:t>
      </w:r>
      <w:r w:rsidRPr="005846C9">
        <w:rPr>
          <w:rFonts w:ascii="Trebuchet MS" w:hAnsi="Trebuchet MS" w:cs="Arial"/>
          <w:b/>
          <w:bCs/>
          <w:sz w:val="20"/>
          <w:szCs w:val="20"/>
        </w:rPr>
        <w:t>stosunku do podatników, którzy nie wywiążą się terminowo z obowiązków wynikających z</w:t>
      </w:r>
      <w:r>
        <w:rPr>
          <w:rFonts w:ascii="Trebuchet MS" w:hAnsi="Trebuchet MS" w:cs="Arial"/>
          <w:b/>
          <w:bCs/>
          <w:sz w:val="20"/>
          <w:szCs w:val="20"/>
        </w:rPr>
        <w:t> </w:t>
      </w:r>
      <w:r w:rsidRPr="005846C9">
        <w:rPr>
          <w:rFonts w:ascii="Trebuchet MS" w:hAnsi="Trebuchet MS" w:cs="Arial"/>
          <w:b/>
          <w:bCs/>
          <w:sz w:val="20"/>
          <w:szCs w:val="20"/>
        </w:rPr>
        <w:t>przepisów art. 11o Ustawy o CIT, w tym za zaniechaniem ukarania na gruncie Kodeksu Karnego Skarbowego. Alternatywie IGCC postuluje za przedłużeniem terminów na wywiązanie się</w:t>
      </w:r>
      <w:r w:rsidR="00560227">
        <w:rPr>
          <w:rFonts w:ascii="Trebuchet MS" w:hAnsi="Trebuchet MS" w:cs="Arial"/>
          <w:b/>
          <w:bCs/>
          <w:sz w:val="20"/>
          <w:szCs w:val="20"/>
        </w:rPr>
        <w:t> </w:t>
      </w:r>
      <w:r w:rsidRPr="005846C9">
        <w:rPr>
          <w:rFonts w:ascii="Trebuchet MS" w:hAnsi="Trebuchet MS" w:cs="Arial"/>
          <w:b/>
          <w:bCs/>
          <w:sz w:val="20"/>
          <w:szCs w:val="20"/>
        </w:rPr>
        <w:t>z</w:t>
      </w:r>
      <w:r>
        <w:rPr>
          <w:rFonts w:ascii="Trebuchet MS" w:hAnsi="Trebuchet MS" w:cs="Arial"/>
          <w:b/>
          <w:bCs/>
          <w:sz w:val="20"/>
          <w:szCs w:val="20"/>
        </w:rPr>
        <w:t> </w:t>
      </w:r>
      <w:r w:rsidRPr="005846C9">
        <w:rPr>
          <w:rFonts w:ascii="Trebuchet MS" w:hAnsi="Trebuchet MS" w:cs="Arial"/>
          <w:b/>
          <w:bCs/>
          <w:sz w:val="20"/>
          <w:szCs w:val="20"/>
        </w:rPr>
        <w:t xml:space="preserve">przedmiotowych obowiązków </w:t>
      </w:r>
      <w:r w:rsidR="005846C9">
        <w:rPr>
          <w:rFonts w:ascii="Trebuchet MS" w:hAnsi="Trebuchet MS" w:cs="Arial"/>
          <w:b/>
          <w:bCs/>
          <w:sz w:val="20"/>
          <w:szCs w:val="20"/>
        </w:rPr>
        <w:t xml:space="preserve">(w zakresie transakcji rajowych) </w:t>
      </w:r>
      <w:r w:rsidRPr="005846C9">
        <w:rPr>
          <w:rFonts w:ascii="Trebuchet MS" w:hAnsi="Trebuchet MS" w:cs="Arial"/>
          <w:b/>
          <w:bCs/>
          <w:sz w:val="20"/>
          <w:szCs w:val="20"/>
        </w:rPr>
        <w:t xml:space="preserve">za rok podatkowych rozpoczynający się po 31 grudnia 2020 r.  </w:t>
      </w:r>
    </w:p>
    <w:p w14:paraId="4BBFCCC4" w14:textId="59FDCA6F" w:rsidR="005C148C" w:rsidRPr="00560227" w:rsidRDefault="00FF5EB6" w:rsidP="005C148C">
      <w:pPr>
        <w:tabs>
          <w:tab w:val="left" w:pos="2694"/>
        </w:tabs>
        <w:spacing w:after="120" w:line="360" w:lineRule="auto"/>
        <w:jc w:val="both"/>
        <w:rPr>
          <w:rFonts w:ascii="Trebuchet MS" w:hAnsi="Trebuchet MS" w:cs="Arial"/>
          <w:sz w:val="20"/>
          <w:szCs w:val="20"/>
        </w:rPr>
      </w:pPr>
      <w:r w:rsidRPr="005846C9">
        <w:rPr>
          <w:rFonts w:ascii="Trebuchet MS" w:hAnsi="Trebuchet MS" w:cs="Arial"/>
          <w:sz w:val="20"/>
          <w:szCs w:val="20"/>
        </w:rPr>
        <w:t xml:space="preserve">IGCC proponuje ponadto, aby w przypadku przychylenia się do ww. postulatów, Ministerstwo Finansów zwróciło się do podatników ze stosownym komunikatem </w:t>
      </w:r>
      <w:r w:rsidR="00560227" w:rsidRPr="005846C9">
        <w:rPr>
          <w:rFonts w:ascii="Trebuchet MS" w:hAnsi="Trebuchet MS" w:cs="Arial"/>
          <w:sz w:val="20"/>
          <w:szCs w:val="20"/>
        </w:rPr>
        <w:t>w możliwie jak najszybszym terminie.</w:t>
      </w:r>
      <w:r w:rsidRPr="00560227">
        <w:rPr>
          <w:rFonts w:ascii="Trebuchet MS" w:hAnsi="Trebuchet MS" w:cs="Arial"/>
          <w:sz w:val="20"/>
          <w:szCs w:val="20"/>
        </w:rPr>
        <w:t xml:space="preserve"> </w:t>
      </w:r>
    </w:p>
    <w:p w14:paraId="79BF685B" w14:textId="77777777" w:rsidR="005C148C" w:rsidRPr="005846C9" w:rsidRDefault="005C148C" w:rsidP="005846C9">
      <w:pPr>
        <w:tabs>
          <w:tab w:val="left" w:pos="2694"/>
        </w:tabs>
        <w:spacing w:after="120" w:line="360" w:lineRule="auto"/>
        <w:jc w:val="both"/>
        <w:rPr>
          <w:rFonts w:ascii="Trebuchet MS" w:hAnsi="Trebuchet MS" w:cs="Arial"/>
          <w:sz w:val="20"/>
          <w:szCs w:val="20"/>
        </w:rPr>
      </w:pPr>
    </w:p>
    <w:p w14:paraId="608CFAE7" w14:textId="5B5EA323" w:rsidR="00516520" w:rsidRPr="00516520" w:rsidRDefault="00516520" w:rsidP="00C904DE">
      <w:pPr>
        <w:pStyle w:val="Akapitzlist"/>
        <w:numPr>
          <w:ilvl w:val="0"/>
          <w:numId w:val="14"/>
        </w:numPr>
        <w:tabs>
          <w:tab w:val="left" w:pos="2694"/>
        </w:tabs>
        <w:spacing w:after="120" w:line="360" w:lineRule="auto"/>
        <w:jc w:val="both"/>
        <w:rPr>
          <w:rFonts w:ascii="Trebuchet MS" w:hAnsi="Trebuchet MS" w:cs="Arial"/>
          <w:sz w:val="20"/>
          <w:szCs w:val="20"/>
        </w:rPr>
      </w:pPr>
      <w:r w:rsidRPr="00516520">
        <w:rPr>
          <w:rFonts w:ascii="Trebuchet MS" w:hAnsi="Trebuchet MS" w:cs="Arial"/>
          <w:b/>
          <w:bCs/>
          <w:sz w:val="20"/>
          <w:szCs w:val="20"/>
        </w:rPr>
        <w:t>POSTULAT SKORZYSTANIA Z DELEGACJI USTAWOWEJ PRZEWIDZIANEJ W ART. 11j UST. 2 Ustawy o CIT</w:t>
      </w:r>
    </w:p>
    <w:p w14:paraId="7103C142" w14:textId="77777777" w:rsidR="00516520" w:rsidRP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 xml:space="preserve">IGCC pragnie zgłosić postulat zdefiniowania Podmiotu Rajowego poprzez odesłanie do Unijnego wykazu jurysdykcji niechętnych współpracy do celów podatkowych przyjmowanego przez Radę Unii Europejskiej (dalej: </w:t>
      </w:r>
      <w:r w:rsidRPr="00516520">
        <w:rPr>
          <w:rFonts w:ascii="Trebuchet MS" w:hAnsi="Trebuchet MS" w:cs="Arial"/>
          <w:b/>
          <w:bCs/>
          <w:sz w:val="20"/>
          <w:szCs w:val="20"/>
        </w:rPr>
        <w:t>Wykaz</w:t>
      </w:r>
      <w:r w:rsidRPr="00516520">
        <w:rPr>
          <w:rFonts w:ascii="Trebuchet MS" w:hAnsi="Trebuchet MS" w:cs="Arial"/>
          <w:sz w:val="20"/>
          <w:szCs w:val="20"/>
        </w:rPr>
        <w:t xml:space="preserve">). IGCC zwraca uwagę, że lista jurysdykcji ujęta w Wykazie jest węższa względem krajowego rozporządzenia, co może powodować odmienne rozumienie „raju podatkowego” przez kontrahentów z różnych krajów Unii Europejskiej. </w:t>
      </w:r>
      <w:r w:rsidRPr="00516520">
        <w:rPr>
          <w:rFonts w:ascii="Trebuchet MS" w:hAnsi="Trebuchet MS" w:cs="Arial"/>
          <w:b/>
          <w:bCs/>
          <w:sz w:val="20"/>
          <w:szCs w:val="20"/>
        </w:rPr>
        <w:t>Zdefiniowanie Podmiotu Rajowego poprzez odesłanie do Wykazu może zostać dokonane poprzez nowelizację treści Rozporządzenia Ministra Finansów z dnia 28 marca 2019 r.</w:t>
      </w:r>
      <w:r w:rsidRPr="00516520">
        <w:rPr>
          <w:rFonts w:ascii="Trebuchet MS" w:hAnsi="Trebuchet MS" w:cs="Arial"/>
          <w:sz w:val="20"/>
          <w:szCs w:val="20"/>
        </w:rPr>
        <w:t xml:space="preserve"> w sprawie określenia krajów i terytoriów stosujących szkodliwą konkurencję podatkową w zakresie podatku dochodowego od osób prawnych (Dz. U. z 2019 r. poz. 600, dalej: </w:t>
      </w:r>
      <w:r w:rsidRPr="00516520">
        <w:rPr>
          <w:rFonts w:ascii="Trebuchet MS" w:hAnsi="Trebuchet MS" w:cs="Arial"/>
          <w:b/>
          <w:bCs/>
          <w:sz w:val="20"/>
          <w:szCs w:val="20"/>
        </w:rPr>
        <w:t>Rozporządzenie 2019</w:t>
      </w:r>
      <w:r w:rsidRPr="00516520">
        <w:rPr>
          <w:rFonts w:ascii="Trebuchet MS" w:hAnsi="Trebuchet MS" w:cs="Arial"/>
          <w:sz w:val="20"/>
          <w:szCs w:val="20"/>
        </w:rPr>
        <w:t>).</w:t>
      </w:r>
    </w:p>
    <w:p w14:paraId="3819EB87" w14:textId="77777777" w:rsidR="00516520" w:rsidRDefault="00516520" w:rsidP="00C904DE">
      <w:pPr>
        <w:tabs>
          <w:tab w:val="left" w:pos="2694"/>
        </w:tabs>
        <w:spacing w:after="120" w:line="360" w:lineRule="auto"/>
        <w:jc w:val="both"/>
        <w:rPr>
          <w:rFonts w:ascii="Trebuchet MS" w:hAnsi="Trebuchet MS" w:cs="Arial"/>
          <w:sz w:val="20"/>
          <w:szCs w:val="20"/>
        </w:rPr>
      </w:pPr>
      <w:r w:rsidRPr="00516520">
        <w:rPr>
          <w:rFonts w:ascii="Trebuchet MS" w:hAnsi="Trebuchet MS" w:cs="Arial"/>
          <w:sz w:val="20"/>
          <w:szCs w:val="20"/>
        </w:rPr>
        <w:t>Nowelizacja Rozporządzenia 2019 i odniesienie jego treści do Wykazu, w opinii IGCC stanowić będzie realizację dyspozycji przepisu art. 11j ust. 2 Ustawy o CIT, w świetle którego Minister właściwy do spraw finansów publicznych określi, w drodze rozporządzenia, wykaz krajów i terytoriów, stosujących szkodliwą konkurencję podatkową, uwzględniając treść ustaleń w tym zakresie podjętych przez Organizację Współpracy Gospodarczej i Rozwoju, istnienie podstawy prawnej do wymiany informacji podatkowych między Rzecząpospolitą Polską a danym krajem lub terytorium, terminowość realizowania obowiązku wymiany informacji podatkowych oraz rzetelność, kompletność i czytelność przekazywanych informacji podatkowych, a także rzeczywiste cechy systemu podatkowego danego kraju lub terytorium mogące doprowadzić do stosowania szkodliwej konkurencji podatkowej.</w:t>
      </w:r>
    </w:p>
    <w:p w14:paraId="4979718C" w14:textId="77777777" w:rsidR="00C904DE" w:rsidRDefault="00C904DE" w:rsidP="00C904DE">
      <w:pPr>
        <w:tabs>
          <w:tab w:val="left" w:pos="2694"/>
        </w:tabs>
        <w:spacing w:after="120" w:line="360" w:lineRule="auto"/>
        <w:jc w:val="center"/>
        <w:rPr>
          <w:rFonts w:ascii="Trebuchet MS" w:hAnsi="Trebuchet MS" w:cs="Arial"/>
          <w:sz w:val="20"/>
          <w:szCs w:val="20"/>
        </w:rPr>
      </w:pPr>
    </w:p>
    <w:p w14:paraId="5305D303" w14:textId="77777777" w:rsidR="00C904DE" w:rsidRDefault="00C904DE" w:rsidP="00C904DE">
      <w:pPr>
        <w:tabs>
          <w:tab w:val="left" w:pos="2694"/>
        </w:tabs>
        <w:spacing w:after="120" w:line="360" w:lineRule="auto"/>
        <w:jc w:val="center"/>
        <w:rPr>
          <w:rFonts w:ascii="Trebuchet MS" w:hAnsi="Trebuchet MS" w:cs="Arial"/>
          <w:sz w:val="20"/>
          <w:szCs w:val="20"/>
        </w:rPr>
      </w:pPr>
    </w:p>
    <w:p w14:paraId="217CFB0D" w14:textId="77777777" w:rsidR="00C904DE" w:rsidRDefault="00C904DE" w:rsidP="00C904DE">
      <w:pPr>
        <w:tabs>
          <w:tab w:val="left" w:pos="2694"/>
        </w:tabs>
        <w:spacing w:after="120" w:line="360" w:lineRule="auto"/>
        <w:jc w:val="center"/>
        <w:rPr>
          <w:rFonts w:ascii="Trebuchet MS" w:hAnsi="Trebuchet MS" w:cs="Arial"/>
          <w:sz w:val="20"/>
          <w:szCs w:val="20"/>
        </w:rPr>
      </w:pPr>
    </w:p>
    <w:p w14:paraId="52B7D6D9" w14:textId="77777777" w:rsidR="00C904DE" w:rsidRDefault="00C904DE" w:rsidP="00C904DE">
      <w:pPr>
        <w:tabs>
          <w:tab w:val="left" w:pos="2694"/>
        </w:tabs>
        <w:spacing w:after="120" w:line="360" w:lineRule="auto"/>
        <w:jc w:val="center"/>
        <w:rPr>
          <w:rFonts w:ascii="Trebuchet MS" w:hAnsi="Trebuchet MS" w:cs="Arial"/>
          <w:sz w:val="20"/>
          <w:szCs w:val="20"/>
        </w:rPr>
      </w:pPr>
    </w:p>
    <w:p w14:paraId="71BA145A" w14:textId="77777777" w:rsidR="00C904DE" w:rsidRDefault="00C904DE" w:rsidP="00C904DE">
      <w:pPr>
        <w:tabs>
          <w:tab w:val="left" w:pos="2694"/>
        </w:tabs>
        <w:spacing w:after="120" w:line="360" w:lineRule="auto"/>
        <w:jc w:val="center"/>
        <w:rPr>
          <w:rFonts w:ascii="Trebuchet MS" w:hAnsi="Trebuchet MS" w:cs="Arial"/>
          <w:sz w:val="20"/>
          <w:szCs w:val="20"/>
        </w:rPr>
      </w:pPr>
    </w:p>
    <w:p w14:paraId="0AABB284" w14:textId="77777777" w:rsidR="00C904DE" w:rsidRDefault="00C904DE" w:rsidP="00C904DE">
      <w:pPr>
        <w:tabs>
          <w:tab w:val="left" w:pos="2694"/>
        </w:tabs>
        <w:spacing w:after="120" w:line="360" w:lineRule="auto"/>
        <w:jc w:val="center"/>
        <w:rPr>
          <w:rFonts w:ascii="Trebuchet MS" w:hAnsi="Trebuchet MS" w:cs="Arial"/>
          <w:sz w:val="20"/>
          <w:szCs w:val="20"/>
        </w:rPr>
      </w:pPr>
    </w:p>
    <w:p w14:paraId="77EC2221" w14:textId="77777777" w:rsidR="00C904DE" w:rsidRDefault="00C904DE" w:rsidP="00C904DE">
      <w:pPr>
        <w:tabs>
          <w:tab w:val="left" w:pos="2694"/>
        </w:tabs>
        <w:spacing w:after="120" w:line="360" w:lineRule="auto"/>
        <w:jc w:val="center"/>
        <w:rPr>
          <w:rFonts w:ascii="Trebuchet MS" w:hAnsi="Trebuchet MS" w:cs="Arial"/>
          <w:sz w:val="20"/>
          <w:szCs w:val="20"/>
        </w:rPr>
      </w:pPr>
    </w:p>
    <w:p w14:paraId="38E64453" w14:textId="77777777" w:rsidR="00C904DE" w:rsidRDefault="00C904DE" w:rsidP="00C904DE">
      <w:pPr>
        <w:tabs>
          <w:tab w:val="left" w:pos="2694"/>
        </w:tabs>
        <w:spacing w:after="120" w:line="360" w:lineRule="auto"/>
        <w:jc w:val="center"/>
        <w:rPr>
          <w:rFonts w:ascii="Trebuchet MS" w:hAnsi="Trebuchet MS" w:cs="Arial"/>
          <w:sz w:val="20"/>
          <w:szCs w:val="20"/>
        </w:rPr>
      </w:pPr>
    </w:p>
    <w:p w14:paraId="14FE1F1A" w14:textId="77777777" w:rsidR="00ED4925" w:rsidRDefault="00ED4925" w:rsidP="00C904DE">
      <w:pPr>
        <w:tabs>
          <w:tab w:val="left" w:pos="2694"/>
        </w:tabs>
        <w:spacing w:after="120" w:line="360" w:lineRule="auto"/>
        <w:jc w:val="center"/>
        <w:rPr>
          <w:rFonts w:ascii="Trebuchet MS" w:hAnsi="Trebuchet MS" w:cs="Arial"/>
          <w:sz w:val="20"/>
          <w:szCs w:val="20"/>
        </w:rPr>
      </w:pPr>
    </w:p>
    <w:p w14:paraId="1EABF084" w14:textId="77777777" w:rsidR="00ED4925" w:rsidRDefault="00ED4925" w:rsidP="00C904DE">
      <w:pPr>
        <w:tabs>
          <w:tab w:val="left" w:pos="2694"/>
        </w:tabs>
        <w:spacing w:after="120" w:line="360" w:lineRule="auto"/>
        <w:jc w:val="center"/>
        <w:rPr>
          <w:rFonts w:ascii="Trebuchet MS" w:hAnsi="Trebuchet MS" w:cs="Arial"/>
          <w:sz w:val="20"/>
          <w:szCs w:val="20"/>
        </w:rPr>
      </w:pPr>
    </w:p>
    <w:p w14:paraId="4536C86D" w14:textId="77777777" w:rsidR="00ED4925" w:rsidRDefault="00ED4925" w:rsidP="00C904DE">
      <w:pPr>
        <w:tabs>
          <w:tab w:val="left" w:pos="2694"/>
        </w:tabs>
        <w:spacing w:after="120" w:line="360" w:lineRule="auto"/>
        <w:jc w:val="center"/>
        <w:rPr>
          <w:rFonts w:ascii="Trebuchet MS" w:hAnsi="Trebuchet MS" w:cs="Arial"/>
          <w:sz w:val="20"/>
          <w:szCs w:val="20"/>
        </w:rPr>
      </w:pPr>
    </w:p>
    <w:p w14:paraId="61B3DA95" w14:textId="77777777" w:rsidR="00ED4925" w:rsidRDefault="00ED4925" w:rsidP="00C904DE">
      <w:pPr>
        <w:tabs>
          <w:tab w:val="left" w:pos="2694"/>
        </w:tabs>
        <w:spacing w:after="120" w:line="360" w:lineRule="auto"/>
        <w:jc w:val="center"/>
        <w:rPr>
          <w:rFonts w:ascii="Trebuchet MS" w:hAnsi="Trebuchet MS" w:cs="Arial"/>
          <w:sz w:val="20"/>
          <w:szCs w:val="20"/>
        </w:rPr>
      </w:pPr>
    </w:p>
    <w:p w14:paraId="4BD56FED" w14:textId="77777777" w:rsidR="00ED4925" w:rsidRDefault="00ED4925" w:rsidP="00C904DE">
      <w:pPr>
        <w:tabs>
          <w:tab w:val="left" w:pos="2694"/>
        </w:tabs>
        <w:spacing w:after="120" w:line="360" w:lineRule="auto"/>
        <w:jc w:val="center"/>
        <w:rPr>
          <w:rFonts w:ascii="Trebuchet MS" w:hAnsi="Trebuchet MS" w:cs="Arial"/>
          <w:sz w:val="20"/>
          <w:szCs w:val="20"/>
        </w:rPr>
      </w:pPr>
    </w:p>
    <w:p w14:paraId="5633C338" w14:textId="77777777" w:rsidR="00ED4925" w:rsidRDefault="00ED4925" w:rsidP="00C904DE">
      <w:pPr>
        <w:tabs>
          <w:tab w:val="left" w:pos="2694"/>
        </w:tabs>
        <w:spacing w:after="120" w:line="360" w:lineRule="auto"/>
        <w:jc w:val="center"/>
        <w:rPr>
          <w:rFonts w:ascii="Trebuchet MS" w:hAnsi="Trebuchet MS" w:cs="Arial"/>
          <w:sz w:val="20"/>
          <w:szCs w:val="20"/>
        </w:rPr>
      </w:pPr>
    </w:p>
    <w:p w14:paraId="1AD5194E" w14:textId="77777777" w:rsidR="00ED4925" w:rsidRDefault="00ED4925" w:rsidP="00C904DE">
      <w:pPr>
        <w:tabs>
          <w:tab w:val="left" w:pos="2694"/>
        </w:tabs>
        <w:spacing w:after="120" w:line="360" w:lineRule="auto"/>
        <w:jc w:val="center"/>
        <w:rPr>
          <w:rFonts w:ascii="Trebuchet MS" w:hAnsi="Trebuchet MS" w:cs="Arial"/>
          <w:sz w:val="20"/>
          <w:szCs w:val="20"/>
        </w:rPr>
      </w:pPr>
    </w:p>
    <w:p w14:paraId="7C3896A1" w14:textId="77777777" w:rsidR="00ED4925" w:rsidRDefault="00ED4925" w:rsidP="00C904DE">
      <w:pPr>
        <w:tabs>
          <w:tab w:val="left" w:pos="2694"/>
        </w:tabs>
        <w:spacing w:after="120" w:line="360" w:lineRule="auto"/>
        <w:jc w:val="center"/>
        <w:rPr>
          <w:rFonts w:ascii="Trebuchet MS" w:hAnsi="Trebuchet MS" w:cs="Arial"/>
          <w:sz w:val="20"/>
          <w:szCs w:val="20"/>
        </w:rPr>
      </w:pPr>
    </w:p>
    <w:p w14:paraId="21F7A1C4" w14:textId="77777777" w:rsidR="00ED4925" w:rsidRDefault="00ED4925" w:rsidP="00C904DE">
      <w:pPr>
        <w:tabs>
          <w:tab w:val="left" w:pos="2694"/>
        </w:tabs>
        <w:spacing w:after="120" w:line="360" w:lineRule="auto"/>
        <w:jc w:val="center"/>
        <w:rPr>
          <w:rFonts w:ascii="Trebuchet MS" w:hAnsi="Trebuchet MS" w:cs="Arial"/>
          <w:sz w:val="20"/>
          <w:szCs w:val="20"/>
        </w:rPr>
      </w:pPr>
    </w:p>
    <w:p w14:paraId="74D7F333" w14:textId="77777777" w:rsidR="00C904DE" w:rsidRDefault="00C904DE" w:rsidP="00C904DE">
      <w:pPr>
        <w:tabs>
          <w:tab w:val="left" w:pos="2694"/>
        </w:tabs>
        <w:spacing w:after="120" w:line="360" w:lineRule="auto"/>
        <w:jc w:val="center"/>
        <w:rPr>
          <w:rFonts w:ascii="Trebuchet MS" w:hAnsi="Trebuchet MS" w:cs="Arial"/>
          <w:sz w:val="20"/>
          <w:szCs w:val="20"/>
        </w:rPr>
      </w:pPr>
    </w:p>
    <w:p w14:paraId="1B99DD92" w14:textId="77777777" w:rsidR="00C904DE" w:rsidRPr="00C904DE" w:rsidRDefault="00C904DE" w:rsidP="00C904DE">
      <w:pPr>
        <w:tabs>
          <w:tab w:val="left" w:pos="2694"/>
        </w:tabs>
        <w:spacing w:after="120" w:line="360" w:lineRule="auto"/>
        <w:jc w:val="center"/>
        <w:rPr>
          <w:rFonts w:ascii="Trebuchet MS" w:eastAsiaTheme="majorEastAsia" w:hAnsi="Trebuchet MS" w:cstheme="majorBidi"/>
          <w:b/>
          <w:bCs/>
          <w:color w:val="FF0000"/>
          <w:sz w:val="20"/>
          <w:szCs w:val="20"/>
        </w:rPr>
      </w:pPr>
    </w:p>
    <w:p w14:paraId="074E7814" w14:textId="6F88999D" w:rsidR="00516520" w:rsidRPr="00C904DE" w:rsidRDefault="00ED4925" w:rsidP="00C904DE">
      <w:pPr>
        <w:pStyle w:val="Akapitzlist"/>
        <w:numPr>
          <w:ilvl w:val="0"/>
          <w:numId w:val="12"/>
        </w:numPr>
        <w:spacing w:line="360" w:lineRule="auto"/>
        <w:jc w:val="center"/>
        <w:rPr>
          <w:rFonts w:ascii="Trebuchet MS" w:hAnsi="Trebuchet MS" w:cs="Arial"/>
          <w:b/>
          <w:sz w:val="20"/>
          <w:szCs w:val="20"/>
        </w:rPr>
      </w:pPr>
      <w:r w:rsidRPr="00ED4925">
        <w:rPr>
          <w:rFonts w:ascii="Trebuchet MS" w:hAnsi="Trebuchet MS" w:cs="Arial"/>
          <w:b/>
          <w:sz w:val="24"/>
          <w:szCs w:val="24"/>
        </w:rPr>
        <w:t>UWAGI DO PROJEKTU W ZAKRESIE</w:t>
      </w:r>
      <w:r w:rsidRPr="00ED4925">
        <w:rPr>
          <w:rFonts w:ascii="Trebuchet MS" w:hAnsi="Trebuchet MS" w:cs="Arial"/>
          <w:b/>
          <w:sz w:val="24"/>
          <w:szCs w:val="24"/>
        </w:rPr>
        <w:t xml:space="preserve"> CIT</w:t>
      </w:r>
    </w:p>
    <w:p w14:paraId="67832297" w14:textId="77777777" w:rsidR="00C904DE" w:rsidRPr="009168F7" w:rsidRDefault="00C904DE" w:rsidP="00C904DE">
      <w:pPr>
        <w:pStyle w:val="Akapitzlist"/>
        <w:spacing w:line="360" w:lineRule="auto"/>
        <w:ind w:left="0"/>
        <w:jc w:val="both"/>
        <w:rPr>
          <w:rFonts w:ascii="Trebuchet MS" w:hAnsi="Trebuchet MS" w:cs="Arial"/>
          <w:b/>
          <w:bCs/>
          <w:sz w:val="20"/>
          <w:szCs w:val="20"/>
        </w:rPr>
      </w:pPr>
    </w:p>
    <w:p w14:paraId="2CD2F584" w14:textId="77777777" w:rsidR="00C904DE" w:rsidRPr="009168F7" w:rsidRDefault="00C904DE" w:rsidP="00C904DE">
      <w:pPr>
        <w:pStyle w:val="Akapitzlist"/>
        <w:numPr>
          <w:ilvl w:val="0"/>
          <w:numId w:val="1"/>
        </w:numPr>
        <w:spacing w:line="360" w:lineRule="auto"/>
        <w:ind w:left="0" w:hanging="284"/>
        <w:jc w:val="both"/>
        <w:rPr>
          <w:rFonts w:ascii="Trebuchet MS" w:hAnsi="Trebuchet MS" w:cs="Arial"/>
          <w:b/>
          <w:bCs/>
          <w:sz w:val="20"/>
          <w:szCs w:val="20"/>
          <w:u w:val="single"/>
        </w:rPr>
      </w:pPr>
      <w:r w:rsidRPr="009168F7">
        <w:rPr>
          <w:rFonts w:ascii="Trebuchet MS" w:hAnsi="Trebuchet MS" w:cs="Arial"/>
          <w:b/>
          <w:bCs/>
          <w:sz w:val="20"/>
          <w:szCs w:val="20"/>
          <w:u w:val="single"/>
        </w:rPr>
        <w:t>Minimalny podatek dochodowy</w:t>
      </w:r>
    </w:p>
    <w:p w14:paraId="342189B1" w14:textId="77777777" w:rsidR="00C904DE" w:rsidRDefault="00C904DE" w:rsidP="00C904DE">
      <w:pPr>
        <w:pStyle w:val="xmsolistparagraph"/>
        <w:spacing w:line="360" w:lineRule="auto"/>
        <w:ind w:left="0"/>
        <w:jc w:val="both"/>
        <w:rPr>
          <w:rFonts w:ascii="Trebuchet MS" w:eastAsia="Times New Roman" w:hAnsi="Trebuchet MS"/>
          <w:sz w:val="20"/>
          <w:szCs w:val="20"/>
        </w:rPr>
      </w:pPr>
      <w:bookmarkStart w:id="1" w:name="_Hlk107502899"/>
      <w:r w:rsidRPr="009168F7">
        <w:rPr>
          <w:rFonts w:ascii="Trebuchet MS" w:eastAsia="Times New Roman" w:hAnsi="Trebuchet MS"/>
          <w:sz w:val="20"/>
          <w:szCs w:val="20"/>
        </w:rPr>
        <w:t xml:space="preserve">IGCC z zadowoleniem przyjmuje zwolnienie podatników z obowiązku zapłaty minimalnego podatku dochodowego w roku 2022 r. </w:t>
      </w:r>
    </w:p>
    <w:p w14:paraId="05AC22BF" w14:textId="77777777" w:rsidR="00C904DE" w:rsidRDefault="00C904DE" w:rsidP="00C904DE">
      <w:pPr>
        <w:pStyle w:val="xmsolistparagraph"/>
        <w:spacing w:line="360" w:lineRule="auto"/>
        <w:ind w:left="0"/>
        <w:jc w:val="both"/>
        <w:rPr>
          <w:rFonts w:ascii="Trebuchet MS" w:eastAsia="Times New Roman" w:hAnsi="Trebuchet MS"/>
          <w:sz w:val="20"/>
          <w:szCs w:val="20"/>
        </w:rPr>
      </w:pPr>
    </w:p>
    <w:p w14:paraId="37BDABE4"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r w:rsidRPr="009168F7">
        <w:rPr>
          <w:rFonts w:ascii="Trebuchet MS" w:eastAsia="Times New Roman" w:hAnsi="Trebuchet MS"/>
          <w:sz w:val="20"/>
          <w:szCs w:val="20"/>
        </w:rPr>
        <w:t xml:space="preserve">Zmiany wprowadzone w modelu opodatkowania minimalnym podatkiem dochodowym od 2023 r. w pewnej części wychodzą naprzeciw zgłaszanym wcześniej przez IGCC postulatom (jak np. w przypadku możliwości nieuwzględniania kosztów związanych z opłatami leasingowymi w kalkulacji dochodowości). Jednocześnie, IGCC postrzega część zmian jako zdecydowanie niekorzystne dla podatników, a także zwraca uwagę na brak uwzględnienia </w:t>
      </w:r>
      <w:r>
        <w:rPr>
          <w:rFonts w:ascii="Trebuchet MS" w:eastAsia="Times New Roman" w:hAnsi="Trebuchet MS"/>
          <w:sz w:val="20"/>
          <w:szCs w:val="20"/>
        </w:rPr>
        <w:t>niektórych</w:t>
      </w:r>
      <w:r w:rsidRPr="009168F7">
        <w:rPr>
          <w:rFonts w:ascii="Trebuchet MS" w:eastAsia="Times New Roman" w:hAnsi="Trebuchet MS"/>
          <w:sz w:val="20"/>
          <w:szCs w:val="20"/>
        </w:rPr>
        <w:t xml:space="preserve"> kluczowych postulatów. </w:t>
      </w:r>
    </w:p>
    <w:p w14:paraId="02780DA4"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p>
    <w:p w14:paraId="52B00ED0"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r w:rsidRPr="009168F7">
        <w:rPr>
          <w:rFonts w:ascii="Trebuchet MS" w:eastAsia="Times New Roman" w:hAnsi="Trebuchet MS"/>
          <w:sz w:val="20"/>
          <w:szCs w:val="20"/>
        </w:rPr>
        <w:t>W szczególności, wątpliwości IGCC budzi:</w:t>
      </w:r>
    </w:p>
    <w:p w14:paraId="47353148" w14:textId="77777777" w:rsidR="00C904DE" w:rsidRDefault="00C904DE" w:rsidP="00C904DE">
      <w:pPr>
        <w:pStyle w:val="xmsolistparagraph"/>
        <w:numPr>
          <w:ilvl w:val="2"/>
          <w:numId w:val="16"/>
        </w:numPr>
        <w:tabs>
          <w:tab w:val="clear" w:pos="2160"/>
        </w:tabs>
        <w:spacing w:line="360" w:lineRule="auto"/>
        <w:ind w:left="993" w:hanging="567"/>
        <w:jc w:val="both"/>
        <w:rPr>
          <w:rFonts w:ascii="Trebuchet MS" w:eastAsia="Times New Roman" w:hAnsi="Trebuchet MS"/>
          <w:sz w:val="20"/>
          <w:szCs w:val="20"/>
        </w:rPr>
      </w:pPr>
      <w:r w:rsidRPr="009168F7">
        <w:rPr>
          <w:rFonts w:ascii="Trebuchet MS" w:eastAsia="Times New Roman" w:hAnsi="Trebuchet MS"/>
          <w:b/>
          <w:bCs/>
          <w:sz w:val="20"/>
          <w:szCs w:val="20"/>
        </w:rPr>
        <w:t>Podniesienie wskaźnika dochodowości</w:t>
      </w:r>
      <w:r>
        <w:rPr>
          <w:rFonts w:ascii="Trebuchet MS" w:eastAsia="Times New Roman" w:hAnsi="Trebuchet MS"/>
          <w:b/>
          <w:bCs/>
          <w:sz w:val="20"/>
          <w:szCs w:val="20"/>
        </w:rPr>
        <w:t>,</w:t>
      </w:r>
      <w:r w:rsidRPr="009168F7">
        <w:rPr>
          <w:rFonts w:ascii="Trebuchet MS" w:eastAsia="Times New Roman" w:hAnsi="Trebuchet MS"/>
          <w:sz w:val="20"/>
          <w:szCs w:val="20"/>
        </w:rPr>
        <w:t xml:space="preserve"> </w:t>
      </w:r>
      <w:r>
        <w:rPr>
          <w:rFonts w:ascii="Trebuchet MS" w:eastAsia="Times New Roman" w:hAnsi="Trebuchet MS"/>
          <w:sz w:val="20"/>
          <w:szCs w:val="20"/>
        </w:rPr>
        <w:t>do</w:t>
      </w:r>
      <w:r w:rsidRPr="009168F7">
        <w:rPr>
          <w:rFonts w:ascii="Trebuchet MS" w:eastAsia="Times New Roman" w:hAnsi="Trebuchet MS"/>
          <w:sz w:val="20"/>
          <w:szCs w:val="20"/>
        </w:rPr>
        <w:t xml:space="preserve"> którego podatnik podlega minimalnemu podatkowi dochodowemu </w:t>
      </w:r>
      <w:r w:rsidRPr="009168F7">
        <w:rPr>
          <w:rFonts w:ascii="Trebuchet MS" w:eastAsia="Times New Roman" w:hAnsi="Trebuchet MS"/>
          <w:b/>
          <w:bCs/>
          <w:sz w:val="20"/>
          <w:szCs w:val="20"/>
        </w:rPr>
        <w:t>z 1% do 2%</w:t>
      </w:r>
      <w:r>
        <w:rPr>
          <w:rFonts w:ascii="Trebuchet MS" w:eastAsia="Times New Roman" w:hAnsi="Trebuchet MS"/>
          <w:b/>
          <w:bCs/>
          <w:sz w:val="20"/>
          <w:szCs w:val="20"/>
        </w:rPr>
        <w:t xml:space="preserve">, </w:t>
      </w:r>
      <w:r w:rsidRPr="004E141F">
        <w:rPr>
          <w:rFonts w:ascii="Trebuchet MS" w:eastAsia="Times New Roman" w:hAnsi="Trebuchet MS"/>
          <w:sz w:val="20"/>
          <w:szCs w:val="20"/>
        </w:rPr>
        <w:t xml:space="preserve">co </w:t>
      </w:r>
      <w:r w:rsidRPr="009168F7">
        <w:rPr>
          <w:rFonts w:ascii="Trebuchet MS" w:eastAsia="Times New Roman" w:hAnsi="Trebuchet MS"/>
          <w:sz w:val="20"/>
          <w:szCs w:val="20"/>
        </w:rPr>
        <w:t xml:space="preserve">spowoduje objęcie minimalnym podatkiem </w:t>
      </w:r>
      <w:r w:rsidRPr="009168F7">
        <w:rPr>
          <w:rFonts w:ascii="Trebuchet MS" w:eastAsia="Times New Roman" w:hAnsi="Trebuchet MS"/>
          <w:b/>
          <w:bCs/>
          <w:sz w:val="20"/>
          <w:szCs w:val="20"/>
        </w:rPr>
        <w:t>szerszej grupy podatników</w:t>
      </w:r>
      <w:r w:rsidRPr="009168F7">
        <w:rPr>
          <w:rFonts w:ascii="Trebuchet MS" w:eastAsia="Times New Roman" w:hAnsi="Trebuchet MS"/>
          <w:sz w:val="20"/>
          <w:szCs w:val="20"/>
        </w:rPr>
        <w:t xml:space="preserve">; IGCC już wcześniej wskazywało, że obowiązujący obecnie 1% próg dochodowości w niektórych branżach jest trudny do osiągnięcia z uwagi na uwarunkowania rynkowe, a nie z </w:t>
      </w:r>
      <w:r>
        <w:rPr>
          <w:rFonts w:ascii="Trebuchet MS" w:eastAsia="Times New Roman" w:hAnsi="Trebuchet MS"/>
          <w:sz w:val="20"/>
          <w:szCs w:val="20"/>
        </w:rPr>
        <w:t>powodu</w:t>
      </w:r>
      <w:r w:rsidRPr="009168F7">
        <w:rPr>
          <w:rFonts w:ascii="Trebuchet MS" w:eastAsia="Times New Roman" w:hAnsi="Trebuchet MS"/>
          <w:sz w:val="20"/>
          <w:szCs w:val="20"/>
        </w:rPr>
        <w:t xml:space="preserve"> </w:t>
      </w:r>
      <w:r>
        <w:rPr>
          <w:rFonts w:ascii="Trebuchet MS" w:eastAsia="Times New Roman" w:hAnsi="Trebuchet MS"/>
          <w:sz w:val="20"/>
          <w:szCs w:val="20"/>
        </w:rPr>
        <w:t xml:space="preserve">jakichkolwiek </w:t>
      </w:r>
      <w:r w:rsidRPr="009168F7">
        <w:rPr>
          <w:rFonts w:ascii="Trebuchet MS" w:eastAsia="Times New Roman" w:hAnsi="Trebuchet MS"/>
          <w:sz w:val="20"/>
          <w:szCs w:val="20"/>
        </w:rPr>
        <w:t>działa</w:t>
      </w:r>
      <w:r>
        <w:rPr>
          <w:rFonts w:ascii="Trebuchet MS" w:eastAsia="Times New Roman" w:hAnsi="Trebuchet MS"/>
          <w:sz w:val="20"/>
          <w:szCs w:val="20"/>
        </w:rPr>
        <w:t>ń</w:t>
      </w:r>
      <w:r w:rsidRPr="009168F7">
        <w:rPr>
          <w:rFonts w:ascii="Trebuchet MS" w:eastAsia="Times New Roman" w:hAnsi="Trebuchet MS"/>
          <w:sz w:val="20"/>
          <w:szCs w:val="20"/>
        </w:rPr>
        <w:t xml:space="preserve"> optymalizacyjn</w:t>
      </w:r>
      <w:r>
        <w:rPr>
          <w:rFonts w:ascii="Trebuchet MS" w:eastAsia="Times New Roman" w:hAnsi="Trebuchet MS"/>
          <w:sz w:val="20"/>
          <w:szCs w:val="20"/>
        </w:rPr>
        <w:t>ych</w:t>
      </w:r>
      <w:r w:rsidRPr="009168F7">
        <w:rPr>
          <w:rFonts w:ascii="Trebuchet MS" w:eastAsia="Times New Roman" w:hAnsi="Trebuchet MS"/>
          <w:sz w:val="20"/>
          <w:szCs w:val="20"/>
        </w:rPr>
        <w:t xml:space="preserve">; proponowana w Projekcie zmiana przepisów prowadzi do efektu wprost sprzecznego z postulatami zgłaszanymi przez przedsiębiorców; jednocześnie, w ocenie IGCC, rozszerzenie katalogu podmiotów zwolnionych z podatku minimalnego uchroni tylko niewielką część podatników przed negatywnymi skutkami proponowanej zmiany, a ponadto doprowadzi do nieuzasadnionego zróżnicowania sytuacji poszczególnych podatników; IGCC zdecydowanie postuluje </w:t>
      </w:r>
      <w:r w:rsidRPr="009168F7">
        <w:rPr>
          <w:rFonts w:ascii="Trebuchet MS" w:eastAsia="Times New Roman" w:hAnsi="Trebuchet MS"/>
          <w:b/>
          <w:bCs/>
          <w:sz w:val="20"/>
          <w:szCs w:val="20"/>
        </w:rPr>
        <w:t>odstąpienie od projektowanej zmiany</w:t>
      </w:r>
      <w:r w:rsidRPr="009168F7">
        <w:rPr>
          <w:rFonts w:ascii="Trebuchet MS" w:eastAsia="Times New Roman" w:hAnsi="Trebuchet MS"/>
          <w:sz w:val="20"/>
          <w:szCs w:val="20"/>
        </w:rPr>
        <w:t>;</w:t>
      </w:r>
    </w:p>
    <w:p w14:paraId="7347FB00" w14:textId="77777777" w:rsidR="00D0209A" w:rsidRPr="009168F7" w:rsidRDefault="00D0209A" w:rsidP="00D0209A">
      <w:pPr>
        <w:pStyle w:val="xmsolistparagraph"/>
        <w:spacing w:line="360" w:lineRule="auto"/>
        <w:ind w:left="993"/>
        <w:jc w:val="both"/>
        <w:rPr>
          <w:rFonts w:ascii="Trebuchet MS" w:eastAsia="Times New Roman" w:hAnsi="Trebuchet MS"/>
          <w:sz w:val="20"/>
          <w:szCs w:val="20"/>
        </w:rPr>
      </w:pPr>
    </w:p>
    <w:p w14:paraId="5EB08154" w14:textId="77777777" w:rsidR="00C904DE" w:rsidRDefault="00C904DE" w:rsidP="00C904DE">
      <w:pPr>
        <w:pStyle w:val="xmsolistparagraph"/>
        <w:numPr>
          <w:ilvl w:val="2"/>
          <w:numId w:val="16"/>
        </w:numPr>
        <w:tabs>
          <w:tab w:val="clear" w:pos="2160"/>
        </w:tabs>
        <w:spacing w:line="360" w:lineRule="auto"/>
        <w:ind w:left="993" w:hanging="567"/>
        <w:jc w:val="both"/>
        <w:rPr>
          <w:rFonts w:ascii="Trebuchet MS" w:eastAsia="Times New Roman" w:hAnsi="Trebuchet MS"/>
          <w:sz w:val="20"/>
          <w:szCs w:val="20"/>
        </w:rPr>
      </w:pPr>
      <w:r w:rsidRPr="009168F7">
        <w:rPr>
          <w:rFonts w:ascii="Trebuchet MS" w:eastAsia="Times New Roman" w:hAnsi="Trebuchet MS"/>
          <w:sz w:val="20"/>
          <w:szCs w:val="20"/>
        </w:rPr>
        <w:t xml:space="preserve">rozszerzenie katalogu kosztów oraz przychodów, które mogą zostać wyłączone przy obliczaniu wskaźnika dochodowości o </w:t>
      </w:r>
      <w:r w:rsidRPr="009168F7">
        <w:rPr>
          <w:rFonts w:ascii="Trebuchet MS" w:eastAsia="Times New Roman" w:hAnsi="Trebuchet MS"/>
          <w:sz w:val="20"/>
          <w:szCs w:val="20"/>
          <w:u w:val="single"/>
        </w:rPr>
        <w:t>wzrost</w:t>
      </w:r>
      <w:r w:rsidRPr="009168F7">
        <w:rPr>
          <w:rFonts w:ascii="Trebuchet MS" w:eastAsia="Times New Roman" w:hAnsi="Trebuchet MS"/>
          <w:sz w:val="20"/>
          <w:szCs w:val="20"/>
        </w:rPr>
        <w:t xml:space="preserve"> kosztów zatrudnienia – w ocenie IGCC zasadne jest </w:t>
      </w:r>
      <w:r w:rsidRPr="009168F7">
        <w:rPr>
          <w:rFonts w:ascii="Trebuchet MS" w:eastAsia="Times New Roman" w:hAnsi="Trebuchet MS"/>
          <w:sz w:val="20"/>
          <w:szCs w:val="20"/>
          <w:u w:val="single"/>
        </w:rPr>
        <w:t xml:space="preserve">wyłączenie </w:t>
      </w:r>
      <w:r w:rsidRPr="009168F7">
        <w:rPr>
          <w:rFonts w:ascii="Trebuchet MS" w:eastAsia="Times New Roman" w:hAnsi="Trebuchet MS"/>
          <w:b/>
          <w:bCs/>
          <w:sz w:val="20"/>
          <w:szCs w:val="20"/>
          <w:u w:val="single"/>
        </w:rPr>
        <w:t>całości kosztów zatrudnienia</w:t>
      </w:r>
      <w:r w:rsidRPr="009168F7">
        <w:rPr>
          <w:rFonts w:ascii="Trebuchet MS" w:eastAsia="Times New Roman" w:hAnsi="Trebuchet MS"/>
          <w:sz w:val="20"/>
          <w:szCs w:val="20"/>
        </w:rPr>
        <w:t>, ponieważ, podobnie jak w przypadku kosztów związanych z nabyciem lub wytworzeniem środków trwałych nie mogą one być postrzegane jako koszty jakkolwiek służące optymalizacji podatkowej</w:t>
      </w:r>
      <w:r>
        <w:rPr>
          <w:rFonts w:ascii="Trebuchet MS" w:eastAsia="Times New Roman" w:hAnsi="Trebuchet MS"/>
          <w:sz w:val="20"/>
          <w:szCs w:val="20"/>
        </w:rPr>
        <w:t xml:space="preserve">, </w:t>
      </w:r>
      <w:r w:rsidRPr="009168F7">
        <w:rPr>
          <w:rFonts w:ascii="Trebuchet MS" w:eastAsia="Times New Roman" w:hAnsi="Trebuchet MS"/>
          <w:sz w:val="20"/>
          <w:szCs w:val="20"/>
        </w:rPr>
        <w:t>czy też niezwiązane z prowadzoną działalnością gospodarczą</w:t>
      </w:r>
      <w:r>
        <w:rPr>
          <w:rFonts w:ascii="Trebuchet MS" w:eastAsia="Times New Roman" w:hAnsi="Trebuchet MS"/>
          <w:sz w:val="20"/>
          <w:szCs w:val="20"/>
        </w:rPr>
        <w:t>;</w:t>
      </w:r>
    </w:p>
    <w:p w14:paraId="46D4EFEA" w14:textId="77777777" w:rsidR="00D0209A" w:rsidRDefault="00D0209A" w:rsidP="00D0209A">
      <w:pPr>
        <w:pStyle w:val="Akapitzlist"/>
        <w:rPr>
          <w:rFonts w:ascii="Trebuchet MS" w:eastAsia="Times New Roman" w:hAnsi="Trebuchet MS"/>
          <w:sz w:val="20"/>
          <w:szCs w:val="20"/>
        </w:rPr>
      </w:pPr>
    </w:p>
    <w:p w14:paraId="345E5C1E" w14:textId="77777777" w:rsidR="00C904DE" w:rsidRDefault="00C904DE" w:rsidP="00C904DE">
      <w:pPr>
        <w:pStyle w:val="xmsolistparagraph"/>
        <w:numPr>
          <w:ilvl w:val="2"/>
          <w:numId w:val="16"/>
        </w:numPr>
        <w:tabs>
          <w:tab w:val="clear" w:pos="2160"/>
        </w:tabs>
        <w:spacing w:line="360" w:lineRule="auto"/>
        <w:ind w:left="993" w:hanging="567"/>
        <w:jc w:val="both"/>
        <w:rPr>
          <w:rFonts w:ascii="Trebuchet MS" w:eastAsia="Times New Roman" w:hAnsi="Trebuchet MS"/>
          <w:sz w:val="20"/>
          <w:szCs w:val="20"/>
        </w:rPr>
      </w:pPr>
      <w:r w:rsidRPr="009168F7">
        <w:rPr>
          <w:rFonts w:ascii="Trebuchet MS" w:eastAsia="Times New Roman" w:hAnsi="Trebuchet MS"/>
          <w:sz w:val="20"/>
          <w:szCs w:val="20"/>
        </w:rPr>
        <w:t>rozszerzenie katalogu kosztów oraz przychodów, które mogą zostać wyłączone przy obliczaniu wskaźnika dochodowości o przychody oraz koszty uzyskania przychodów odpowiadające wysokości podatku</w:t>
      </w:r>
      <w:r>
        <w:rPr>
          <w:rFonts w:ascii="Trebuchet MS" w:eastAsia="Times New Roman" w:hAnsi="Trebuchet MS"/>
          <w:sz w:val="20"/>
          <w:szCs w:val="20"/>
        </w:rPr>
        <w:t xml:space="preserve"> akcyzowego</w:t>
      </w:r>
      <w:r w:rsidRPr="009168F7">
        <w:rPr>
          <w:rFonts w:ascii="Trebuchet MS" w:eastAsia="Times New Roman" w:hAnsi="Trebuchet MS"/>
          <w:sz w:val="20"/>
          <w:szCs w:val="20"/>
        </w:rPr>
        <w:t xml:space="preserve">: zgłaszane wcześniej postulaty przedsiębiorców dotyczyły wyłączenia podatku akcyzowego z </w:t>
      </w:r>
      <w:r w:rsidRPr="009168F7">
        <w:rPr>
          <w:rFonts w:ascii="Trebuchet MS" w:eastAsia="Times New Roman" w:hAnsi="Trebuchet MS"/>
          <w:sz w:val="20"/>
          <w:szCs w:val="20"/>
          <w:u w:val="single"/>
        </w:rPr>
        <w:t>przychodów stanowiących element podstawy opodatkowania</w:t>
      </w:r>
      <w:r w:rsidRPr="009168F7">
        <w:rPr>
          <w:rFonts w:ascii="Trebuchet MS" w:eastAsia="Times New Roman" w:hAnsi="Trebuchet MS"/>
          <w:sz w:val="20"/>
          <w:szCs w:val="20"/>
        </w:rPr>
        <w:t xml:space="preserve">, </w:t>
      </w:r>
      <w:r>
        <w:rPr>
          <w:rFonts w:ascii="Trebuchet MS" w:eastAsia="Times New Roman" w:hAnsi="Trebuchet MS"/>
          <w:sz w:val="20"/>
          <w:szCs w:val="20"/>
        </w:rPr>
        <w:t xml:space="preserve">a </w:t>
      </w:r>
      <w:r w:rsidRPr="009168F7">
        <w:rPr>
          <w:rFonts w:ascii="Trebuchet MS" w:eastAsia="Times New Roman" w:hAnsi="Trebuchet MS"/>
          <w:sz w:val="20"/>
          <w:szCs w:val="20"/>
          <w:u w:val="single"/>
        </w:rPr>
        <w:t>nie z kalkulacji wskaźnika dochodowości</w:t>
      </w:r>
      <w:r w:rsidRPr="009168F7">
        <w:rPr>
          <w:rFonts w:ascii="Trebuchet MS" w:eastAsia="Times New Roman" w:hAnsi="Trebuchet MS"/>
          <w:sz w:val="20"/>
          <w:szCs w:val="20"/>
        </w:rPr>
        <w:t xml:space="preserve">; aktualne brzmienie Projektu nie tylko nie rozwiązuje zgłoszonego wcześniej problemu, lecz </w:t>
      </w:r>
      <w:r>
        <w:rPr>
          <w:rFonts w:ascii="Trebuchet MS" w:eastAsia="Times New Roman" w:hAnsi="Trebuchet MS"/>
          <w:sz w:val="20"/>
          <w:szCs w:val="20"/>
        </w:rPr>
        <w:t xml:space="preserve">w niektórych przypadkach </w:t>
      </w:r>
      <w:r w:rsidRPr="009168F7">
        <w:rPr>
          <w:rFonts w:ascii="Trebuchet MS" w:eastAsia="Times New Roman" w:hAnsi="Trebuchet MS"/>
          <w:sz w:val="20"/>
          <w:szCs w:val="20"/>
        </w:rPr>
        <w:t>może również doprowadzić do pogorszenia sytuacji podatników podatku akcyzowego w kontekście podatku minimalnego; spełnienie postulatów przedsiębiorców w tym zakresie</w:t>
      </w:r>
      <w:r>
        <w:rPr>
          <w:rFonts w:ascii="Trebuchet MS" w:eastAsia="Times New Roman" w:hAnsi="Trebuchet MS"/>
          <w:sz w:val="20"/>
          <w:szCs w:val="20"/>
        </w:rPr>
        <w:t>,</w:t>
      </w:r>
      <w:r w:rsidRPr="009168F7">
        <w:rPr>
          <w:rFonts w:ascii="Trebuchet MS" w:eastAsia="Times New Roman" w:hAnsi="Trebuchet MS"/>
          <w:sz w:val="20"/>
          <w:szCs w:val="20"/>
        </w:rPr>
        <w:t xml:space="preserve"> jak można wnioskować z uzasadnienia do Projektu</w:t>
      </w:r>
      <w:r>
        <w:rPr>
          <w:rFonts w:ascii="Trebuchet MS" w:eastAsia="Times New Roman" w:hAnsi="Trebuchet MS"/>
          <w:sz w:val="20"/>
          <w:szCs w:val="20"/>
        </w:rPr>
        <w:t xml:space="preserve">, </w:t>
      </w:r>
      <w:r w:rsidRPr="009168F7">
        <w:rPr>
          <w:rFonts w:ascii="Trebuchet MS" w:eastAsia="Times New Roman" w:hAnsi="Trebuchet MS"/>
          <w:sz w:val="20"/>
          <w:szCs w:val="20"/>
        </w:rPr>
        <w:t xml:space="preserve">było intencją ustawodawcy, niemniej jednak wymagałoby to </w:t>
      </w:r>
      <w:r w:rsidRPr="009168F7">
        <w:rPr>
          <w:rFonts w:ascii="Trebuchet MS" w:eastAsia="Times New Roman" w:hAnsi="Trebuchet MS"/>
          <w:b/>
          <w:bCs/>
          <w:sz w:val="20"/>
          <w:szCs w:val="20"/>
        </w:rPr>
        <w:t>wyłączenia w podstawie opodatkowania przychodów w części dotyczącej podatku akcyzowego</w:t>
      </w:r>
      <w:r w:rsidRPr="009168F7">
        <w:rPr>
          <w:rFonts w:ascii="Trebuchet MS" w:eastAsia="Times New Roman" w:hAnsi="Trebuchet MS"/>
          <w:sz w:val="20"/>
          <w:szCs w:val="20"/>
        </w:rPr>
        <w:t>;</w:t>
      </w:r>
    </w:p>
    <w:p w14:paraId="12A8530E" w14:textId="77777777" w:rsidR="00D0209A" w:rsidRDefault="00D0209A" w:rsidP="00D0209A">
      <w:pPr>
        <w:pStyle w:val="Akapitzlist"/>
        <w:rPr>
          <w:rFonts w:ascii="Trebuchet MS" w:eastAsia="Times New Roman" w:hAnsi="Trebuchet MS"/>
          <w:sz w:val="20"/>
          <w:szCs w:val="20"/>
        </w:rPr>
      </w:pPr>
    </w:p>
    <w:p w14:paraId="2300B441" w14:textId="77777777" w:rsidR="00C904DE" w:rsidRDefault="00C904DE" w:rsidP="00C904DE">
      <w:pPr>
        <w:pStyle w:val="xmsolistparagraph"/>
        <w:numPr>
          <w:ilvl w:val="2"/>
          <w:numId w:val="16"/>
        </w:numPr>
        <w:tabs>
          <w:tab w:val="clear" w:pos="2160"/>
        </w:tabs>
        <w:spacing w:line="360" w:lineRule="auto"/>
        <w:ind w:left="993" w:hanging="567"/>
        <w:jc w:val="both"/>
        <w:rPr>
          <w:rFonts w:ascii="Trebuchet MS" w:eastAsia="Times New Roman" w:hAnsi="Trebuchet MS"/>
          <w:sz w:val="20"/>
          <w:szCs w:val="20"/>
        </w:rPr>
      </w:pPr>
      <w:r w:rsidRPr="009168F7">
        <w:rPr>
          <w:rFonts w:ascii="Trebuchet MS" w:eastAsia="Times New Roman" w:hAnsi="Trebuchet MS"/>
          <w:sz w:val="20"/>
          <w:szCs w:val="20"/>
        </w:rPr>
        <w:t xml:space="preserve">Zmiany w podstawie opodatkowania w części odnoszącej się do kosztów finansowania dłużnego – obniżenie limitu, powyżej którego koszty stają się podstawą opodatkowania podatkiem minimalnym z 30% do 15% EBITDA jest zmianą oczywiście niekorzystną, nieuzasadnioną i prowadzi do niespójności z regulacją z art. 15c ustawy o CIT, zgodnie z którą podatnik ma prawo zaliczyć do kosztów uzyskania przychodów nadwyżkę kosztów finansowania dłużnego w kwocie do 30% EBITDA (lub 3 mln zł), niezależnie od tego, czy chodzi o finansowanie od podmiotów powiązanych, czy niepowiązanych – a więc także w przypadku, gdy całość finansowania pochodzi od podmiotu powiązanego; nielogicznym wydaje się więc jednoczesne uznanie, że koszty finansowania dłużnego w części przekraczającej 15% (a nie 30%) EBITDA należy uznać za koszty nadmiarowe (w szczególności w okolicznościach, gdy stopy procentowe są drastycznie podnoszone); IGCC postuluje </w:t>
      </w:r>
      <w:r w:rsidRPr="009168F7">
        <w:rPr>
          <w:rFonts w:ascii="Trebuchet MS" w:eastAsia="Times New Roman" w:hAnsi="Trebuchet MS"/>
          <w:b/>
          <w:bCs/>
          <w:sz w:val="20"/>
          <w:szCs w:val="20"/>
        </w:rPr>
        <w:t>odstąpienie od proponowanej zmiany</w:t>
      </w:r>
      <w:r w:rsidRPr="009168F7">
        <w:rPr>
          <w:rFonts w:ascii="Trebuchet MS" w:eastAsia="Times New Roman" w:hAnsi="Trebuchet MS"/>
          <w:sz w:val="20"/>
          <w:szCs w:val="20"/>
        </w:rPr>
        <w:t xml:space="preserve">; </w:t>
      </w:r>
    </w:p>
    <w:p w14:paraId="7954B754" w14:textId="77777777" w:rsidR="00D0209A" w:rsidRDefault="00D0209A" w:rsidP="00D0209A">
      <w:pPr>
        <w:pStyle w:val="Akapitzlist"/>
        <w:rPr>
          <w:rFonts w:ascii="Trebuchet MS" w:eastAsia="Times New Roman" w:hAnsi="Trebuchet MS"/>
          <w:sz w:val="20"/>
          <w:szCs w:val="20"/>
        </w:rPr>
      </w:pPr>
    </w:p>
    <w:p w14:paraId="6D0FF4C8" w14:textId="77777777" w:rsidR="00C904DE" w:rsidRDefault="00C904DE" w:rsidP="00C904DE">
      <w:pPr>
        <w:pStyle w:val="xmsolistparagraph"/>
        <w:numPr>
          <w:ilvl w:val="2"/>
          <w:numId w:val="16"/>
        </w:numPr>
        <w:tabs>
          <w:tab w:val="clear" w:pos="2160"/>
        </w:tabs>
        <w:spacing w:line="360" w:lineRule="auto"/>
        <w:ind w:left="993" w:hanging="567"/>
        <w:jc w:val="both"/>
        <w:rPr>
          <w:rFonts w:ascii="Trebuchet MS" w:eastAsia="Times New Roman" w:hAnsi="Trebuchet MS"/>
          <w:sz w:val="20"/>
          <w:szCs w:val="20"/>
        </w:rPr>
      </w:pPr>
      <w:r w:rsidRPr="009168F7">
        <w:rPr>
          <w:rFonts w:ascii="Trebuchet MS" w:eastAsia="Times New Roman" w:hAnsi="Trebuchet MS"/>
          <w:sz w:val="20"/>
          <w:szCs w:val="20"/>
        </w:rPr>
        <w:t xml:space="preserve">Zmiany w podstawie opodatkowania w części odnoszącej się do kosztów usług niematerialnych i opłat licencyjnych – obniżenie o 3 miliony zł limitu powyżej którego koszty </w:t>
      </w:r>
      <w:r>
        <w:rPr>
          <w:rFonts w:ascii="Trebuchet MS" w:eastAsia="Times New Roman" w:hAnsi="Trebuchet MS"/>
          <w:sz w:val="20"/>
          <w:szCs w:val="20"/>
        </w:rPr>
        <w:t xml:space="preserve">te </w:t>
      </w:r>
      <w:r w:rsidRPr="009168F7">
        <w:rPr>
          <w:rFonts w:ascii="Trebuchet MS" w:eastAsia="Times New Roman" w:hAnsi="Trebuchet MS"/>
          <w:sz w:val="20"/>
          <w:szCs w:val="20"/>
        </w:rPr>
        <w:t xml:space="preserve">stają się podstawą opodatkowania podatkiem minimalnym (zmiana na niekorzyść) – podobnie jak w przypadku limitu kosztów finansowania dłużnego, zmiana jest niekorzystna i nieuzasadniona; proponowany w projekcie limit dla bardzo wielu przedsiębiorców jest niewystarczający z perspektywy potrzeby zapewnienia niezbędnych usług grupowych czy też licencji np. związanych z procesem produkcyjnym; propozycja rażąco ogranicza swobodę prowadzenia działalności gospodarczej; IGCC postuluje </w:t>
      </w:r>
      <w:r w:rsidRPr="00BE2641">
        <w:rPr>
          <w:rFonts w:ascii="Trebuchet MS" w:eastAsia="Times New Roman" w:hAnsi="Trebuchet MS"/>
          <w:b/>
          <w:bCs/>
          <w:sz w:val="20"/>
          <w:szCs w:val="20"/>
        </w:rPr>
        <w:t>odstąpienie od proponowanej zmiany</w:t>
      </w:r>
      <w:r w:rsidRPr="009168F7">
        <w:rPr>
          <w:rFonts w:ascii="Trebuchet MS" w:eastAsia="Times New Roman" w:hAnsi="Trebuchet MS"/>
          <w:sz w:val="20"/>
          <w:szCs w:val="20"/>
        </w:rPr>
        <w:t xml:space="preserve">; </w:t>
      </w:r>
    </w:p>
    <w:p w14:paraId="14EF6D45" w14:textId="77777777" w:rsidR="00D0209A" w:rsidRDefault="00D0209A" w:rsidP="00D0209A">
      <w:pPr>
        <w:pStyle w:val="Akapitzlist"/>
        <w:rPr>
          <w:rFonts w:ascii="Trebuchet MS" w:eastAsia="Times New Roman" w:hAnsi="Trebuchet MS"/>
          <w:sz w:val="20"/>
          <w:szCs w:val="20"/>
        </w:rPr>
      </w:pPr>
    </w:p>
    <w:p w14:paraId="182E8E53" w14:textId="77777777" w:rsidR="00C904DE" w:rsidRPr="009168F7" w:rsidRDefault="00C904DE" w:rsidP="00C904DE">
      <w:pPr>
        <w:pStyle w:val="xmsolistparagraph"/>
        <w:numPr>
          <w:ilvl w:val="2"/>
          <w:numId w:val="16"/>
        </w:numPr>
        <w:tabs>
          <w:tab w:val="clear" w:pos="2160"/>
        </w:tabs>
        <w:spacing w:line="360" w:lineRule="auto"/>
        <w:ind w:left="993" w:hanging="567"/>
        <w:jc w:val="both"/>
        <w:rPr>
          <w:rFonts w:ascii="Trebuchet MS" w:eastAsia="Times New Roman" w:hAnsi="Trebuchet MS"/>
          <w:sz w:val="20"/>
          <w:szCs w:val="20"/>
          <w:u w:val="single"/>
        </w:rPr>
      </w:pPr>
      <w:r w:rsidRPr="009168F7">
        <w:rPr>
          <w:rFonts w:ascii="Trebuchet MS" w:eastAsia="Times New Roman" w:hAnsi="Trebuchet MS"/>
          <w:sz w:val="20"/>
          <w:szCs w:val="20"/>
          <w:u w:val="single"/>
        </w:rPr>
        <w:t xml:space="preserve">Brak regulacji w następujących obszarach wskazywanych we wcześniejszych uwagach IGCC </w:t>
      </w:r>
      <w:r w:rsidRPr="009168F7">
        <w:rPr>
          <w:rFonts w:ascii="Trebuchet MS" w:eastAsia="Times New Roman" w:hAnsi="Trebuchet MS"/>
          <w:sz w:val="20"/>
          <w:szCs w:val="20"/>
        </w:rPr>
        <w:t>(w załączeniu do niniejszego pisma):</w:t>
      </w:r>
    </w:p>
    <w:p w14:paraId="4D16CEC2" w14:textId="77777777" w:rsidR="00C904DE" w:rsidRPr="009168F7" w:rsidRDefault="00C904DE" w:rsidP="00C904DE">
      <w:pPr>
        <w:pStyle w:val="xmsolistparagraph"/>
        <w:numPr>
          <w:ilvl w:val="3"/>
          <w:numId w:val="16"/>
        </w:numPr>
        <w:tabs>
          <w:tab w:val="clear" w:pos="2880"/>
          <w:tab w:val="num" w:pos="2552"/>
        </w:tabs>
        <w:spacing w:line="360" w:lineRule="auto"/>
        <w:ind w:left="2127" w:hanging="567"/>
        <w:jc w:val="both"/>
        <w:rPr>
          <w:rFonts w:ascii="Trebuchet MS" w:eastAsia="Times New Roman" w:hAnsi="Trebuchet MS"/>
          <w:sz w:val="20"/>
          <w:szCs w:val="20"/>
        </w:rPr>
      </w:pPr>
      <w:r w:rsidRPr="009168F7">
        <w:rPr>
          <w:rFonts w:ascii="Trebuchet MS" w:eastAsia="Times New Roman" w:hAnsi="Trebuchet MS"/>
          <w:sz w:val="20"/>
          <w:szCs w:val="20"/>
        </w:rPr>
        <w:t>wyłączenie z podstawy opodatkowania kosztów finansowania dłużnego, usług niematerialnych i należności licencyjnych w przypadku, gdy podatnik posiada uprzednie porozumienie cenowe oraz dla wydatków bezpośrednio związanych z wytworzeniem lub nabyciem przez podatnika towaru lub świadczeniem usług;</w:t>
      </w:r>
    </w:p>
    <w:p w14:paraId="7F06C2B0" w14:textId="77777777" w:rsidR="00C904DE" w:rsidRPr="009168F7" w:rsidRDefault="00C904DE" w:rsidP="00C904DE">
      <w:pPr>
        <w:pStyle w:val="xmsolistparagraph"/>
        <w:numPr>
          <w:ilvl w:val="3"/>
          <w:numId w:val="16"/>
        </w:numPr>
        <w:tabs>
          <w:tab w:val="clear" w:pos="2880"/>
          <w:tab w:val="num" w:pos="2552"/>
        </w:tabs>
        <w:spacing w:line="360" w:lineRule="auto"/>
        <w:ind w:left="2127" w:hanging="567"/>
        <w:jc w:val="both"/>
        <w:rPr>
          <w:rFonts w:ascii="Trebuchet MS" w:eastAsia="Times New Roman" w:hAnsi="Trebuchet MS"/>
          <w:sz w:val="20"/>
          <w:szCs w:val="20"/>
        </w:rPr>
      </w:pPr>
      <w:r w:rsidRPr="009168F7">
        <w:rPr>
          <w:rFonts w:ascii="Trebuchet MS" w:eastAsia="Times New Roman" w:hAnsi="Trebuchet MS"/>
          <w:sz w:val="20"/>
          <w:szCs w:val="20"/>
        </w:rPr>
        <w:t>uwzględnienie podatków sektorowych, w szczególności podatku od sprzedaży detalicznej;</w:t>
      </w:r>
    </w:p>
    <w:p w14:paraId="4167CE74" w14:textId="77777777" w:rsidR="00C904DE" w:rsidRPr="009168F7" w:rsidRDefault="00C904DE" w:rsidP="00C904DE">
      <w:pPr>
        <w:pStyle w:val="xmsolistparagraph"/>
        <w:numPr>
          <w:ilvl w:val="3"/>
          <w:numId w:val="16"/>
        </w:numPr>
        <w:tabs>
          <w:tab w:val="clear" w:pos="2880"/>
          <w:tab w:val="num" w:pos="2552"/>
        </w:tabs>
        <w:spacing w:line="360" w:lineRule="auto"/>
        <w:ind w:left="2127" w:hanging="567"/>
        <w:jc w:val="both"/>
        <w:rPr>
          <w:rFonts w:ascii="Trebuchet MS" w:eastAsia="Times New Roman" w:hAnsi="Trebuchet MS"/>
          <w:sz w:val="20"/>
          <w:szCs w:val="20"/>
        </w:rPr>
      </w:pPr>
      <w:r w:rsidRPr="009168F7">
        <w:rPr>
          <w:rFonts w:ascii="Trebuchet MS" w:eastAsia="Times New Roman" w:hAnsi="Trebuchet MS"/>
          <w:sz w:val="20"/>
          <w:szCs w:val="20"/>
        </w:rPr>
        <w:t>uwzględnienia sytuacji podatników nabywających na potrzeby działalności gospodarczej wartości niematerialne i prawne – np. technologie; Projekt nie przewiduje możliwości odliczenia takich wydatków w kalkulacji dochodowości.</w:t>
      </w:r>
    </w:p>
    <w:p w14:paraId="4667FD00"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p>
    <w:p w14:paraId="7DF2DE45" w14:textId="77777777" w:rsidR="00657C74" w:rsidRPr="00EB08FB" w:rsidRDefault="00657C74" w:rsidP="00657C74">
      <w:pPr>
        <w:pStyle w:val="xmsolistparagraph"/>
        <w:spacing w:line="360" w:lineRule="auto"/>
        <w:ind w:left="0"/>
        <w:jc w:val="both"/>
        <w:rPr>
          <w:rFonts w:ascii="Trebuchet MS" w:eastAsia="Times New Roman" w:hAnsi="Trebuchet MS"/>
          <w:sz w:val="20"/>
          <w:szCs w:val="20"/>
        </w:rPr>
      </w:pPr>
      <w:r w:rsidRPr="00EB08FB">
        <w:rPr>
          <w:rFonts w:ascii="Trebuchet MS" w:eastAsia="Times New Roman" w:hAnsi="Trebuchet MS"/>
          <w:sz w:val="20"/>
          <w:szCs w:val="20"/>
        </w:rPr>
        <w:t>Ponadto, IGCC postuluje rozszerzenie wyłączenia</w:t>
      </w:r>
      <w:r>
        <w:rPr>
          <w:rFonts w:ascii="Trebuchet MS" w:eastAsia="Times New Roman" w:hAnsi="Trebuchet MS"/>
          <w:sz w:val="20"/>
          <w:szCs w:val="20"/>
        </w:rPr>
        <w:t xml:space="preserve"> podmiotowego z podatku minimalnego</w:t>
      </w:r>
      <w:r w:rsidRPr="00EB08FB">
        <w:rPr>
          <w:rFonts w:ascii="Trebuchet MS" w:eastAsia="Times New Roman" w:hAnsi="Trebuchet MS"/>
          <w:sz w:val="20"/>
          <w:szCs w:val="20"/>
        </w:rPr>
        <w:t xml:space="preserve"> również o instytucje pożyczkowe. Okres pandemii i przepisy mające na celu ochronę pożyczkodawców istotnie wpłynęły na sytuację gospodarczą podmiotów z branży pożyczkowej (znacznie ograniczyły możliwość uzyskiwania przychodów, co przełożyło się na niską marżowość). Dodatkowo</w:t>
      </w:r>
      <w:r>
        <w:rPr>
          <w:rFonts w:ascii="Trebuchet MS" w:eastAsia="Times New Roman" w:hAnsi="Trebuchet MS"/>
          <w:sz w:val="20"/>
          <w:szCs w:val="20"/>
        </w:rPr>
        <w:t>,</w:t>
      </w:r>
      <w:r w:rsidRPr="00EB08FB">
        <w:rPr>
          <w:rFonts w:ascii="Trebuchet MS" w:eastAsia="Times New Roman" w:hAnsi="Trebuchet MS"/>
          <w:sz w:val="20"/>
          <w:szCs w:val="20"/>
        </w:rPr>
        <w:t xml:space="preserve"> obecna sytuacja gospodarcza (inflacja, poczucie braku stabilności związanej z działaniami zbrojnymi prowadzonymi na Ukrainie) istotnie przekłada się na spadek przychodów w branży pożyczkowej (ograniczenie konsumpcji na inne rzeczy niż pierwszej potrzeby), a tym samym wysokość marży. Propozycja ma na celu zrównanie skutków </w:t>
      </w:r>
      <w:r>
        <w:rPr>
          <w:rFonts w:ascii="Trebuchet MS" w:eastAsia="Times New Roman" w:hAnsi="Trebuchet MS"/>
          <w:sz w:val="20"/>
          <w:szCs w:val="20"/>
        </w:rPr>
        <w:t xml:space="preserve">wprowadzenia podatku minimalnego dla </w:t>
      </w:r>
      <w:r w:rsidRPr="00EB08FB">
        <w:rPr>
          <w:rFonts w:ascii="Trebuchet MS" w:eastAsia="Times New Roman" w:hAnsi="Trebuchet MS"/>
          <w:sz w:val="20"/>
          <w:szCs w:val="20"/>
        </w:rPr>
        <w:t xml:space="preserve">banków oraz instytucji pożyczkowych. </w:t>
      </w:r>
    </w:p>
    <w:p w14:paraId="34D8AD8D" w14:textId="77777777" w:rsidR="00657C74" w:rsidRDefault="00657C74" w:rsidP="00C904DE">
      <w:pPr>
        <w:pStyle w:val="xmsolistparagraph"/>
        <w:spacing w:line="360" w:lineRule="auto"/>
        <w:ind w:left="0"/>
        <w:jc w:val="both"/>
        <w:rPr>
          <w:rFonts w:ascii="Trebuchet MS" w:eastAsia="Times New Roman" w:hAnsi="Trebuchet MS"/>
          <w:sz w:val="20"/>
          <w:szCs w:val="20"/>
        </w:rPr>
      </w:pPr>
    </w:p>
    <w:p w14:paraId="1E61C012" w14:textId="392AAA6B" w:rsidR="00C904DE" w:rsidRPr="009168F7" w:rsidRDefault="00C904DE" w:rsidP="00C904DE">
      <w:pPr>
        <w:pStyle w:val="xmsolistparagraph"/>
        <w:spacing w:line="360" w:lineRule="auto"/>
        <w:ind w:left="0"/>
        <w:jc w:val="both"/>
        <w:rPr>
          <w:rFonts w:ascii="Trebuchet MS" w:eastAsia="Times New Roman" w:hAnsi="Trebuchet MS"/>
          <w:sz w:val="20"/>
          <w:szCs w:val="20"/>
        </w:rPr>
      </w:pPr>
      <w:r w:rsidRPr="009168F7">
        <w:rPr>
          <w:rFonts w:ascii="Trebuchet MS" w:eastAsia="Times New Roman" w:hAnsi="Trebuchet MS"/>
          <w:sz w:val="20"/>
          <w:szCs w:val="20"/>
        </w:rPr>
        <w:t xml:space="preserve">Dodatkowo, mając na uwadze prowadzone na poziomie Unii Europejskiej prace dotyczące tzw. globalnego minimalnego podatku dochodowego (w ramach tzw. Filaru II), IGCC proponuje wskazanie, że podatek minimalny będzie obowiązywał przejściowo, do czasu przyjęcia i wdrożenia w Polsce rozwiązań wypracowanych na poziomie międzynarodowym. </w:t>
      </w:r>
    </w:p>
    <w:p w14:paraId="27122890"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p>
    <w:p w14:paraId="7EAAF4B9" w14:textId="77777777" w:rsidR="00C904DE" w:rsidRPr="009168F7" w:rsidRDefault="00C904DE" w:rsidP="00C904DE">
      <w:pPr>
        <w:pStyle w:val="Akapitzlist"/>
        <w:numPr>
          <w:ilvl w:val="0"/>
          <w:numId w:val="1"/>
        </w:numPr>
        <w:spacing w:line="360" w:lineRule="auto"/>
        <w:ind w:left="0" w:hanging="284"/>
        <w:jc w:val="both"/>
        <w:rPr>
          <w:rFonts w:ascii="Trebuchet MS" w:hAnsi="Trebuchet MS" w:cs="Arial"/>
          <w:b/>
          <w:bCs/>
          <w:sz w:val="20"/>
          <w:szCs w:val="20"/>
          <w:u w:val="single"/>
        </w:rPr>
      </w:pPr>
      <w:r w:rsidRPr="009168F7">
        <w:rPr>
          <w:rFonts w:ascii="Trebuchet MS" w:hAnsi="Trebuchet MS" w:cs="Arial"/>
          <w:b/>
          <w:bCs/>
          <w:sz w:val="20"/>
          <w:szCs w:val="20"/>
          <w:u w:val="single"/>
        </w:rPr>
        <w:t>Limit kosztów finansowania dłużnego</w:t>
      </w:r>
    </w:p>
    <w:p w14:paraId="3CA9C0A6"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r w:rsidRPr="009168F7">
        <w:rPr>
          <w:rFonts w:ascii="Trebuchet MS" w:eastAsia="Times New Roman" w:hAnsi="Trebuchet MS"/>
          <w:sz w:val="20"/>
          <w:szCs w:val="20"/>
        </w:rPr>
        <w:t xml:space="preserve">IGCC z zadowoleniem przyjmuje proponowaną korektę brzmienia art. 15c ust.1 </w:t>
      </w:r>
      <w:r>
        <w:rPr>
          <w:rFonts w:ascii="Trebuchet MS" w:eastAsia="Times New Roman" w:hAnsi="Trebuchet MS"/>
          <w:sz w:val="20"/>
          <w:szCs w:val="20"/>
        </w:rPr>
        <w:t xml:space="preserve">ustawy o CIT </w:t>
      </w:r>
      <w:r w:rsidRPr="009168F7">
        <w:rPr>
          <w:rFonts w:ascii="Trebuchet MS" w:eastAsia="Times New Roman" w:hAnsi="Trebuchet MS"/>
          <w:sz w:val="20"/>
          <w:szCs w:val="20"/>
        </w:rPr>
        <w:t xml:space="preserve">mającą na celu doprecyzowanie zasad kalkulacji limitu. </w:t>
      </w:r>
    </w:p>
    <w:p w14:paraId="57506E74"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p>
    <w:p w14:paraId="43AA434A"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r w:rsidRPr="009168F7">
        <w:rPr>
          <w:rFonts w:ascii="Trebuchet MS" w:eastAsia="Times New Roman" w:hAnsi="Trebuchet MS"/>
          <w:sz w:val="20"/>
          <w:szCs w:val="20"/>
        </w:rPr>
        <w:t xml:space="preserve">Jednocześnie, jak wskazywano we wcześniejszych konsultacjach (pisma w załączeniu), proponowany limit 3 mln </w:t>
      </w:r>
      <w:r w:rsidRPr="009168F7">
        <w:rPr>
          <w:rFonts w:ascii="Trebuchet MS" w:eastAsia="Times New Roman" w:hAnsi="Trebuchet MS"/>
          <w:b/>
          <w:bCs/>
          <w:sz w:val="20"/>
          <w:szCs w:val="20"/>
        </w:rPr>
        <w:t>zł</w:t>
      </w:r>
      <w:r w:rsidRPr="009168F7">
        <w:rPr>
          <w:rFonts w:ascii="Trebuchet MS" w:eastAsia="Times New Roman" w:hAnsi="Trebuchet MS"/>
          <w:sz w:val="20"/>
          <w:szCs w:val="20"/>
        </w:rPr>
        <w:t xml:space="preserve"> lub 30% EBITDA jest zdecydowanie niższy niż wymagany na podstawie przepisów prawa europejskiego (3 mln EUR zgodnie z Dyrektywą Rady (UE) 2016/1164 z dnia 12 lipca 2016 r. (dalej: Dyrektywa)</w:t>
      </w:r>
      <w:r>
        <w:rPr>
          <w:rFonts w:ascii="Trebuchet MS" w:eastAsia="Times New Roman" w:hAnsi="Trebuchet MS"/>
          <w:sz w:val="20"/>
          <w:szCs w:val="20"/>
        </w:rPr>
        <w:t>)</w:t>
      </w:r>
      <w:r w:rsidRPr="009168F7">
        <w:rPr>
          <w:rFonts w:ascii="Trebuchet MS" w:eastAsia="Times New Roman" w:hAnsi="Trebuchet MS"/>
          <w:sz w:val="20"/>
          <w:szCs w:val="20"/>
        </w:rPr>
        <w:t xml:space="preserve">. Zgodnie z art. 4 ust. 3 lit. a) Dyrektywy, możliwe jest odstąpienie od stosowania limitu 30% EBITDA poprzez uprawnienie podatnika do odliczenia nadwyżki kosztów finansowania dłużnego do kwoty </w:t>
      </w:r>
      <w:r w:rsidRPr="009168F7">
        <w:rPr>
          <w:rFonts w:ascii="Trebuchet MS" w:eastAsia="Times New Roman" w:hAnsi="Trebuchet MS"/>
          <w:b/>
          <w:bCs/>
          <w:sz w:val="20"/>
          <w:szCs w:val="20"/>
        </w:rPr>
        <w:t>3.000.000 EUR</w:t>
      </w:r>
      <w:r w:rsidRPr="009168F7">
        <w:rPr>
          <w:rFonts w:ascii="Trebuchet MS" w:eastAsia="Times New Roman" w:hAnsi="Trebuchet MS"/>
          <w:sz w:val="20"/>
          <w:szCs w:val="20"/>
        </w:rPr>
        <w:t xml:space="preserve"> (tzw. bezpieczna przystań). </w:t>
      </w:r>
    </w:p>
    <w:p w14:paraId="75E43DFA"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p>
    <w:p w14:paraId="502AA6B1"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r w:rsidRPr="009168F7">
        <w:rPr>
          <w:rFonts w:ascii="Trebuchet MS" w:eastAsia="Times New Roman" w:hAnsi="Trebuchet MS"/>
          <w:sz w:val="20"/>
          <w:szCs w:val="20"/>
        </w:rPr>
        <w:t xml:space="preserve">Tymczasem Projekt </w:t>
      </w:r>
      <w:r>
        <w:rPr>
          <w:rFonts w:ascii="Trebuchet MS" w:eastAsia="Times New Roman" w:hAnsi="Trebuchet MS"/>
          <w:sz w:val="20"/>
          <w:szCs w:val="20"/>
        </w:rPr>
        <w:t xml:space="preserve">nadal </w:t>
      </w:r>
      <w:r w:rsidRPr="009168F7">
        <w:rPr>
          <w:rFonts w:ascii="Trebuchet MS" w:eastAsia="Times New Roman" w:hAnsi="Trebuchet MS"/>
          <w:sz w:val="20"/>
          <w:szCs w:val="20"/>
        </w:rPr>
        <w:t>przewiduje jako tzw. bezpieczną przystań kwotę 3.000.000 zł. Jest więc to kwota niemal pięciokrotnie niższa aniżeli przewidziana w przepisach Dyrektywy. Z raportu Komisji Europejskiej z 19 sierpnia 2020 r. dotyczącego implementacji Dyrektywy w poszczególnych państwach członkowskich wynika, że jedynie 6 państw członkowskich zdecydowało się na przyjęcie jako bezpiecznej przystani kwoty niższej niż maksymalna dozwolona kwota, tj. 3.000.000 EUR.</w:t>
      </w:r>
      <w:r w:rsidRPr="009168F7">
        <w:rPr>
          <w:rFonts w:ascii="Trebuchet MS" w:eastAsia="Times New Roman" w:hAnsi="Trebuchet MS"/>
          <w:sz w:val="20"/>
          <w:szCs w:val="20"/>
          <w:vertAlign w:val="superscript"/>
        </w:rPr>
        <w:footnoteReference w:id="4"/>
      </w:r>
      <w:r w:rsidRPr="009168F7">
        <w:rPr>
          <w:rFonts w:ascii="Trebuchet MS" w:eastAsia="Times New Roman" w:hAnsi="Trebuchet MS"/>
          <w:sz w:val="20"/>
          <w:szCs w:val="20"/>
        </w:rPr>
        <w:t xml:space="preserve"> Państwa z Europy Środkowo-Wschodniej również zdecydowały się na wprowadzenie wyższych limitów. Przykładowo, bezpieczna przystań przewidziana w przepisach węgierskich wynosi 939,810,000 HUF co według aktualnego kursu stanowi odpowiednik kwoty zbliżonej do limitu przewidzianego w Dyrektywie. </w:t>
      </w:r>
    </w:p>
    <w:p w14:paraId="0F49AC58" w14:textId="77777777" w:rsidR="00C904DE" w:rsidRDefault="00C904DE" w:rsidP="00C904DE">
      <w:pPr>
        <w:pStyle w:val="xmsolistparagraph"/>
        <w:spacing w:line="360" w:lineRule="auto"/>
        <w:ind w:left="0"/>
        <w:jc w:val="both"/>
        <w:rPr>
          <w:rFonts w:ascii="Trebuchet MS" w:eastAsia="Times New Roman" w:hAnsi="Trebuchet MS"/>
          <w:sz w:val="20"/>
          <w:szCs w:val="20"/>
        </w:rPr>
      </w:pPr>
      <w:r w:rsidRPr="009168F7">
        <w:rPr>
          <w:rFonts w:ascii="Trebuchet MS" w:eastAsia="Times New Roman" w:hAnsi="Trebuchet MS"/>
          <w:sz w:val="20"/>
          <w:szCs w:val="20"/>
        </w:rPr>
        <w:br/>
        <w:t>W świetle powyższego, w ocenie IGCC</w:t>
      </w:r>
      <w:r>
        <w:rPr>
          <w:rFonts w:ascii="Trebuchet MS" w:eastAsia="Times New Roman" w:hAnsi="Trebuchet MS"/>
          <w:sz w:val="20"/>
          <w:szCs w:val="20"/>
        </w:rPr>
        <w:t>, obowiązująca od 1 stycznia 2022 r.</w:t>
      </w:r>
      <w:r w:rsidRPr="009168F7">
        <w:rPr>
          <w:rFonts w:ascii="Trebuchet MS" w:eastAsia="Times New Roman" w:hAnsi="Trebuchet MS"/>
          <w:sz w:val="20"/>
          <w:szCs w:val="20"/>
        </w:rPr>
        <w:t xml:space="preserve"> zmiana wzoru na liczenie limitu nadwyżki kosztów finansowania dłużnego, która może stanowić koszt uzyskania przychodów (zmiana sumy kwot 3.000.000 zł i 30% podatkowej EBITDA na alternatywę) bez jednoczesnego dostosowania kwoty bezpiecznej przystani do zasad wynikających z Dyrektywy i stosowanych przez większość państw członkowskich UE (w tym Węgry) stanowi zdecydowane pogorszenie efektywności podatkowej finansowania dłużnego, co szczególnie w związku z drastycznym wzrostem stóp procentowych oraz nadal trudną sytua</w:t>
      </w:r>
      <w:bookmarkStart w:id="2" w:name="_GoBack"/>
      <w:bookmarkEnd w:id="2"/>
      <w:r w:rsidRPr="009168F7">
        <w:rPr>
          <w:rFonts w:ascii="Trebuchet MS" w:eastAsia="Times New Roman" w:hAnsi="Trebuchet MS"/>
          <w:sz w:val="20"/>
          <w:szCs w:val="20"/>
        </w:rPr>
        <w:t xml:space="preserve">cją wielu przedsiębiorców wywołaną pandemią COVID-19 może przyśpieszyć i pogłębić nadchodzące spowolnienie gospodarcze. Należy bowiem mieć na uwadze, że limit wynikający z art. 15c dotyczy nie tylko finansowania grupowego, ale także kosztów finansowania zewnętrznego, w tym bankowego. Projektowana zmiana doprowadzi do tego, że koszty uzyskania tego finansowania znacząco wzrosną, a polscy przedsiębiorcy będą w dużo gorszej sytuacji od podmiotów prowadzących działalność w innych państwach członkowskich. Spadnie więc atrakcyjność Polski jako miejsca do lokowania biznesu i inwestowania.  </w:t>
      </w:r>
    </w:p>
    <w:p w14:paraId="18656FDB"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p>
    <w:p w14:paraId="0680EDC4"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r w:rsidRPr="009168F7">
        <w:rPr>
          <w:rFonts w:ascii="Trebuchet MS" w:eastAsia="Times New Roman" w:hAnsi="Trebuchet MS"/>
          <w:sz w:val="20"/>
          <w:szCs w:val="20"/>
        </w:rPr>
        <w:t>W związku z powyższym, CCIFP postuluje zwiększenie kwoty tzw. bezpiecznej przystani do równowartości kwoty 3.000.000 EUR.</w:t>
      </w:r>
    </w:p>
    <w:p w14:paraId="1B2E3D70"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p>
    <w:p w14:paraId="57565694" w14:textId="77777777" w:rsidR="00C904DE" w:rsidRPr="009168F7" w:rsidRDefault="00C904DE" w:rsidP="00C904DE">
      <w:pPr>
        <w:pStyle w:val="Akapitzlist"/>
        <w:numPr>
          <w:ilvl w:val="0"/>
          <w:numId w:val="1"/>
        </w:numPr>
        <w:spacing w:line="360" w:lineRule="auto"/>
        <w:ind w:left="0" w:hanging="284"/>
        <w:jc w:val="both"/>
        <w:rPr>
          <w:rFonts w:ascii="Trebuchet MS" w:hAnsi="Trebuchet MS" w:cs="Arial"/>
          <w:b/>
          <w:bCs/>
          <w:sz w:val="20"/>
          <w:szCs w:val="20"/>
          <w:u w:val="single"/>
        </w:rPr>
      </w:pPr>
      <w:r w:rsidRPr="009168F7">
        <w:rPr>
          <w:rFonts w:ascii="Trebuchet MS" w:hAnsi="Trebuchet MS" w:cs="Arial"/>
          <w:b/>
          <w:bCs/>
          <w:sz w:val="20"/>
          <w:szCs w:val="20"/>
          <w:u w:val="single"/>
        </w:rPr>
        <w:t>Spółka holdingowa</w:t>
      </w:r>
    </w:p>
    <w:p w14:paraId="2644460E"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r w:rsidRPr="009168F7">
        <w:rPr>
          <w:rFonts w:ascii="Trebuchet MS" w:eastAsia="Times New Roman" w:hAnsi="Trebuchet MS"/>
          <w:sz w:val="20"/>
          <w:szCs w:val="20"/>
        </w:rPr>
        <w:t xml:space="preserve">Proponowane w Projekcie zmiany w zakresie opodatkowania spółki holdingowej stanowią spełnienie postulatów zgłaszanych wcześniej przez przedsiębiorców, co IGCC przyjmuje z dużą satysfakcją. </w:t>
      </w:r>
    </w:p>
    <w:p w14:paraId="24405C35"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p>
    <w:p w14:paraId="541E1DEB"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r w:rsidRPr="009168F7">
        <w:rPr>
          <w:rFonts w:ascii="Trebuchet MS" w:eastAsia="Times New Roman" w:hAnsi="Trebuchet MS"/>
          <w:sz w:val="20"/>
          <w:szCs w:val="20"/>
        </w:rPr>
        <w:t xml:space="preserve">Jednocześnie, należy zwrócić uwagę na brak uwzględnienia postulatów zgłaszanych przez spółki, których akcje są notowane na giełdach, a więc podmioty nie tylko </w:t>
      </w:r>
      <w:r>
        <w:rPr>
          <w:rFonts w:ascii="Trebuchet MS" w:eastAsia="Times New Roman" w:hAnsi="Trebuchet MS"/>
          <w:sz w:val="20"/>
          <w:szCs w:val="20"/>
        </w:rPr>
        <w:t xml:space="preserve">bardzo </w:t>
      </w:r>
      <w:r w:rsidRPr="009168F7">
        <w:rPr>
          <w:rFonts w:ascii="Trebuchet MS" w:eastAsia="Times New Roman" w:hAnsi="Trebuchet MS"/>
          <w:sz w:val="20"/>
          <w:szCs w:val="20"/>
        </w:rPr>
        <w:t xml:space="preserve">istotne z perspektywy gospodarki, ale także poddane rygorystycznemu nadzorowi. Z perspektywy spółek giełdowych warunek weryfikacji czy nie posiadają wśród akcjonariuszy bezpośrednich lub pośrednich podmiotów z terytorium lub kraju wskazanego w art. 24m pkt 1 lit. e ustawy o CIT jest w praktyce niemożliwe do spełnienia. </w:t>
      </w:r>
    </w:p>
    <w:p w14:paraId="226E90D9"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p>
    <w:p w14:paraId="06B78B75"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r w:rsidRPr="009168F7">
        <w:rPr>
          <w:rFonts w:ascii="Trebuchet MS" w:eastAsia="Times New Roman" w:hAnsi="Trebuchet MS"/>
          <w:sz w:val="20"/>
          <w:szCs w:val="20"/>
        </w:rPr>
        <w:t>Brak uwzględnienia postulatu w ww</w:t>
      </w:r>
      <w:r>
        <w:rPr>
          <w:rFonts w:ascii="Trebuchet MS" w:eastAsia="Times New Roman" w:hAnsi="Trebuchet MS"/>
          <w:sz w:val="20"/>
          <w:szCs w:val="20"/>
        </w:rPr>
        <w:t>.</w:t>
      </w:r>
      <w:r w:rsidRPr="009168F7">
        <w:rPr>
          <w:rFonts w:ascii="Trebuchet MS" w:eastAsia="Times New Roman" w:hAnsi="Trebuchet MS"/>
          <w:sz w:val="20"/>
          <w:szCs w:val="20"/>
        </w:rPr>
        <w:t xml:space="preserve"> zakresie bardzo zaskakuje, ponieważ był on zgłaszany wielokrotnie przez największe organizacje przedsiębiorców i pracodawców i Ministerstwo Finansów historycznie pozytywnie się do niego odniosło. </w:t>
      </w:r>
    </w:p>
    <w:p w14:paraId="4A6DCAF0"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p>
    <w:p w14:paraId="710F454E"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r w:rsidRPr="009168F7">
        <w:rPr>
          <w:rFonts w:ascii="Trebuchet MS" w:eastAsia="Times New Roman" w:hAnsi="Trebuchet MS"/>
          <w:sz w:val="20"/>
          <w:szCs w:val="20"/>
        </w:rPr>
        <w:t xml:space="preserve">IGCC ponownie postuluje </w:t>
      </w:r>
      <w:r w:rsidRPr="009168F7">
        <w:rPr>
          <w:rFonts w:ascii="Trebuchet MS" w:eastAsia="Times New Roman" w:hAnsi="Trebuchet MS"/>
          <w:b/>
          <w:bCs/>
          <w:sz w:val="20"/>
          <w:szCs w:val="20"/>
        </w:rPr>
        <w:t>wyłączenie ograniczeń odnoszących się do akcjonariuszy spółek notowanych na giełdzie papierów wartościowych</w:t>
      </w:r>
      <w:r w:rsidRPr="009168F7">
        <w:rPr>
          <w:rFonts w:ascii="Trebuchet MS" w:eastAsia="Times New Roman" w:hAnsi="Trebuchet MS"/>
          <w:sz w:val="20"/>
          <w:szCs w:val="20"/>
        </w:rPr>
        <w:t xml:space="preserve"> lub zmodyfikowanie art. 24m ust. 1 pkt e w taki sposób, by dopuszczalne było posiadanie przez podmioty z terytorium lub kraju wskazanego w tych przepisach nie więcej niż 10% udziałów (akcji) w spółce holdingowej.</w:t>
      </w:r>
    </w:p>
    <w:p w14:paraId="71E2C5A8"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p>
    <w:p w14:paraId="72DDE406" w14:textId="77777777" w:rsidR="00C904DE" w:rsidRPr="009168F7" w:rsidRDefault="00C904DE" w:rsidP="00C904DE">
      <w:pPr>
        <w:pStyle w:val="Akapitzlist"/>
        <w:numPr>
          <w:ilvl w:val="0"/>
          <w:numId w:val="1"/>
        </w:numPr>
        <w:spacing w:line="360" w:lineRule="auto"/>
        <w:ind w:left="0" w:hanging="284"/>
        <w:jc w:val="both"/>
        <w:rPr>
          <w:rFonts w:ascii="Trebuchet MS" w:hAnsi="Trebuchet MS" w:cs="Arial"/>
          <w:b/>
          <w:bCs/>
          <w:sz w:val="20"/>
          <w:szCs w:val="20"/>
          <w:u w:val="single"/>
        </w:rPr>
      </w:pPr>
      <w:r w:rsidRPr="009168F7">
        <w:rPr>
          <w:rFonts w:ascii="Trebuchet MS" w:hAnsi="Trebuchet MS" w:cs="Arial"/>
          <w:b/>
          <w:bCs/>
          <w:sz w:val="20"/>
          <w:szCs w:val="20"/>
          <w:u w:val="single"/>
        </w:rPr>
        <w:t xml:space="preserve">Zmiany dotyczące podatkowych grup kapitałowych (PGK) </w:t>
      </w:r>
    </w:p>
    <w:p w14:paraId="4581C219"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r w:rsidRPr="009168F7">
        <w:rPr>
          <w:rFonts w:ascii="Trebuchet MS" w:eastAsia="Times New Roman" w:hAnsi="Trebuchet MS"/>
          <w:sz w:val="20"/>
          <w:szCs w:val="20"/>
        </w:rPr>
        <w:t xml:space="preserve">W zakresie PGK, zaproponowane zmiany stanowią realizację jednego z postulatów IGCC, co należy przyjąć z zadowoleniem. </w:t>
      </w:r>
    </w:p>
    <w:p w14:paraId="06C2984D"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r w:rsidRPr="009168F7">
        <w:rPr>
          <w:rFonts w:ascii="Trebuchet MS" w:eastAsia="Times New Roman" w:hAnsi="Trebuchet MS"/>
          <w:sz w:val="20"/>
          <w:szCs w:val="20"/>
        </w:rPr>
        <w:t xml:space="preserve">Jednocześnie, IGCC ponownie wskazuje na konieczność równego traktowania podatników CIT działających w różnych formach prawnych, w szczególności umożliwienia spółkom komandytowym oraz komandytowo-akcyjnym powoływania PGK. Dyskryminacja tych podmiotów jest zupełnie nieuzasadniona. </w:t>
      </w:r>
    </w:p>
    <w:p w14:paraId="6FCA2E1D"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r w:rsidRPr="009168F7">
        <w:rPr>
          <w:rFonts w:ascii="Trebuchet MS" w:eastAsia="Times New Roman" w:hAnsi="Trebuchet MS"/>
          <w:sz w:val="20"/>
          <w:szCs w:val="20"/>
        </w:rPr>
        <w:t xml:space="preserve">IGCC ponawia także uwagi dotyczące zasad rozliczania strat podatkowych w ramach PGK, w szczególności konieczności wykazywania odpowiedniego dochodu z danego źródła zarówno na poziomie PGK, jak i samej spółki, która wykazała stratę podlegającą rozliczeniu (szczegółowy opis zagadnień problematycznych w ramach PGK znajduje się w załączonym piśmie złożonym w ramach wcześniejszych konsultacji). </w:t>
      </w:r>
    </w:p>
    <w:p w14:paraId="3A5813D5"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p>
    <w:p w14:paraId="2293A8B5" w14:textId="77777777" w:rsidR="00C904DE" w:rsidRPr="009168F7" w:rsidRDefault="00C904DE" w:rsidP="00C904DE">
      <w:pPr>
        <w:pStyle w:val="Akapitzlist"/>
        <w:numPr>
          <w:ilvl w:val="0"/>
          <w:numId w:val="1"/>
        </w:numPr>
        <w:spacing w:line="360" w:lineRule="auto"/>
        <w:ind w:left="0" w:hanging="284"/>
        <w:jc w:val="both"/>
        <w:rPr>
          <w:rFonts w:ascii="Trebuchet MS" w:hAnsi="Trebuchet MS" w:cs="Arial"/>
          <w:b/>
          <w:bCs/>
          <w:sz w:val="20"/>
          <w:szCs w:val="20"/>
          <w:u w:val="single"/>
        </w:rPr>
      </w:pPr>
      <w:r w:rsidRPr="009168F7">
        <w:rPr>
          <w:rFonts w:ascii="Trebuchet MS" w:hAnsi="Trebuchet MS" w:cs="Arial"/>
          <w:b/>
          <w:bCs/>
          <w:sz w:val="20"/>
          <w:szCs w:val="20"/>
          <w:u w:val="single"/>
        </w:rPr>
        <w:t xml:space="preserve">Podatek od przerzuconych dochodów </w:t>
      </w:r>
    </w:p>
    <w:p w14:paraId="15BBE4F9"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r w:rsidRPr="009168F7">
        <w:rPr>
          <w:rFonts w:ascii="Trebuchet MS" w:eastAsia="Times New Roman" w:hAnsi="Trebuchet MS"/>
          <w:sz w:val="20"/>
          <w:szCs w:val="20"/>
        </w:rPr>
        <w:t xml:space="preserve">IGCC pragnie docenić próbę uproszczenia i doprecyzowania przepisów dotyczących podatku od przerzuconych dochodów. </w:t>
      </w:r>
    </w:p>
    <w:p w14:paraId="644BE74B"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p>
    <w:p w14:paraId="4EF502FC"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r w:rsidRPr="009168F7">
        <w:rPr>
          <w:rFonts w:ascii="Trebuchet MS" w:eastAsia="Times New Roman" w:hAnsi="Trebuchet MS"/>
          <w:sz w:val="20"/>
          <w:szCs w:val="20"/>
        </w:rPr>
        <w:t>Jednakże, Izby wskazują, że proponowane brzmienie przepisów nie eliminuje problemów praktycznych związanych z koniecznością pozyskiwania danych od kontrahentów zagranicznych</w:t>
      </w:r>
      <w:r>
        <w:rPr>
          <w:rFonts w:ascii="Trebuchet MS" w:eastAsia="Times New Roman" w:hAnsi="Trebuchet MS"/>
          <w:sz w:val="20"/>
          <w:szCs w:val="20"/>
        </w:rPr>
        <w:t xml:space="preserve"> (w tym – nadal – o podmiotach pośrednio będących odbiorcami płatności)</w:t>
      </w:r>
      <w:r w:rsidRPr="009168F7">
        <w:rPr>
          <w:rFonts w:ascii="Trebuchet MS" w:eastAsia="Times New Roman" w:hAnsi="Trebuchet MS"/>
          <w:sz w:val="20"/>
          <w:szCs w:val="20"/>
        </w:rPr>
        <w:t xml:space="preserve">, </w:t>
      </w:r>
      <w:r>
        <w:rPr>
          <w:rFonts w:ascii="Trebuchet MS" w:eastAsia="Times New Roman" w:hAnsi="Trebuchet MS"/>
          <w:sz w:val="20"/>
          <w:szCs w:val="20"/>
        </w:rPr>
        <w:t>nawet jeśli chodzi o podmioty powiązane.</w:t>
      </w:r>
      <w:r w:rsidRPr="009168F7">
        <w:rPr>
          <w:rFonts w:ascii="Trebuchet MS" w:eastAsia="Times New Roman" w:hAnsi="Trebuchet MS"/>
          <w:sz w:val="20"/>
          <w:szCs w:val="20"/>
        </w:rPr>
        <w:t xml:space="preserve"> Obecny kształt regulacji powoduje, że polski podatnik ponosi odpowiedzialność </w:t>
      </w:r>
      <w:r>
        <w:rPr>
          <w:rFonts w:ascii="Trebuchet MS" w:eastAsia="Times New Roman" w:hAnsi="Trebuchet MS"/>
          <w:sz w:val="20"/>
          <w:szCs w:val="20"/>
        </w:rPr>
        <w:t xml:space="preserve">uzależnioną od tego czy </w:t>
      </w:r>
      <w:r w:rsidRPr="009168F7">
        <w:rPr>
          <w:rFonts w:ascii="Trebuchet MS" w:eastAsia="Times New Roman" w:hAnsi="Trebuchet MS"/>
          <w:sz w:val="20"/>
          <w:szCs w:val="20"/>
        </w:rPr>
        <w:t>dane przekazane (lub nieprzekazane) przez zagranicznych kontrahentów</w:t>
      </w:r>
      <w:r>
        <w:rPr>
          <w:rFonts w:ascii="Trebuchet MS" w:eastAsia="Times New Roman" w:hAnsi="Trebuchet MS"/>
          <w:sz w:val="20"/>
          <w:szCs w:val="20"/>
        </w:rPr>
        <w:t xml:space="preserve"> będą właściwe</w:t>
      </w:r>
      <w:r w:rsidRPr="009168F7">
        <w:rPr>
          <w:rFonts w:ascii="Trebuchet MS" w:eastAsia="Times New Roman" w:hAnsi="Trebuchet MS"/>
          <w:sz w:val="20"/>
          <w:szCs w:val="20"/>
        </w:rPr>
        <w:t xml:space="preserve">, a więc </w:t>
      </w:r>
      <w:r>
        <w:rPr>
          <w:rFonts w:ascii="Trebuchet MS" w:eastAsia="Times New Roman" w:hAnsi="Trebuchet MS"/>
          <w:sz w:val="20"/>
          <w:szCs w:val="20"/>
        </w:rPr>
        <w:t>od</w:t>
      </w:r>
      <w:r w:rsidRPr="009168F7">
        <w:rPr>
          <w:rFonts w:ascii="Trebuchet MS" w:eastAsia="Times New Roman" w:hAnsi="Trebuchet MS"/>
          <w:sz w:val="20"/>
          <w:szCs w:val="20"/>
        </w:rPr>
        <w:t xml:space="preserve"> okoliczności, na które nie ma wpływu. </w:t>
      </w:r>
    </w:p>
    <w:p w14:paraId="2880561D"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p>
    <w:p w14:paraId="5E7464D5"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r w:rsidRPr="009168F7">
        <w:rPr>
          <w:rFonts w:ascii="Trebuchet MS" w:eastAsia="Times New Roman" w:hAnsi="Trebuchet MS"/>
          <w:sz w:val="20"/>
          <w:szCs w:val="20"/>
        </w:rPr>
        <w:t>W konsekwencji, mając na uwadze</w:t>
      </w:r>
      <w:r>
        <w:rPr>
          <w:rFonts w:ascii="Trebuchet MS" w:eastAsia="Times New Roman" w:hAnsi="Trebuchet MS"/>
          <w:sz w:val="20"/>
          <w:szCs w:val="20"/>
        </w:rPr>
        <w:t xml:space="preserve">, że zgodnie z wyjaśnieniami Ministerstwa Finansów, koncepcja podatku od przerzuconych dochodów bazuje na obowiązującym w Wielkiej Brytanii podatku od przerzuconych dochodów (diverted profit tax), IGCC postuluje rozważenie przez ustawodawcę reformy podatku od przerzuconych dochodów tak, aby konstrukcja była zbliżona do brytyjskiej. Zgodnie z regulacjami brytyjskimi, podatnik – rezydent ma w pierwszej kolejności obowiązek poinformowania organów skarbowych o tym, że potencjalnie może podlegać ww podatkowi. Następnie, to właściwy organ skarbowy jest zobowiązany do skalkulowania podatku – jeśli uzna, że opodatkowanie ma zastosowanie z uwagi na brak uzasadnienia gospodarczego dla danej struktury / płatności, natomiast podatnik ma możliwość odwoływania i składania wyjaśnień. W ten sposób ciężar kalkulacji podatku nie obarcza podatnika, lecz leży po stronie organu. IGCC deklaruje gotowość do szerszego i szczegółowego opisania zasad rozliczania diverted profit tax w Wielkiej Brytanii jeśli Ministerstwo Finansów wyrazi otwartość na kontynuowanie rozmów i analiz w tym zakresie. </w:t>
      </w:r>
    </w:p>
    <w:p w14:paraId="324D3877"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p>
    <w:p w14:paraId="577BF516" w14:textId="77777777" w:rsidR="00C904DE" w:rsidRPr="009168F7" w:rsidRDefault="00C904DE" w:rsidP="00C904DE">
      <w:pPr>
        <w:pStyle w:val="xmsolistparagraph"/>
        <w:spacing w:line="360" w:lineRule="auto"/>
        <w:ind w:left="0"/>
        <w:jc w:val="both"/>
        <w:rPr>
          <w:rFonts w:ascii="Trebuchet MS" w:eastAsia="Times New Roman" w:hAnsi="Trebuchet MS"/>
          <w:sz w:val="20"/>
          <w:szCs w:val="20"/>
        </w:rPr>
      </w:pPr>
      <w:r>
        <w:rPr>
          <w:rFonts w:ascii="Trebuchet MS" w:eastAsia="Times New Roman" w:hAnsi="Trebuchet MS"/>
          <w:sz w:val="20"/>
          <w:szCs w:val="20"/>
        </w:rPr>
        <w:t xml:space="preserve">Jednocześnie, niezrozumiały – w kontekście wcześniejszych deklaracji ze strony MF – jest brak uwzględnienia postulatów, </w:t>
      </w:r>
      <w:r w:rsidRPr="009168F7">
        <w:rPr>
          <w:rFonts w:ascii="Trebuchet MS" w:eastAsia="Times New Roman" w:hAnsi="Trebuchet MS"/>
          <w:sz w:val="20"/>
          <w:szCs w:val="20"/>
        </w:rPr>
        <w:t>aby podatku nie stosować w przypadku, gdy płatności, które mogą stanowić jego podstawę są ponoszone na rzecz podmiotów prowadzących istotną rzeczywistą działalność gospodarczą</w:t>
      </w:r>
      <w:r>
        <w:rPr>
          <w:rFonts w:ascii="Trebuchet MS" w:eastAsia="Times New Roman" w:hAnsi="Trebuchet MS"/>
          <w:sz w:val="20"/>
          <w:szCs w:val="20"/>
        </w:rPr>
        <w:t xml:space="preserve"> w</w:t>
      </w:r>
      <w:r w:rsidRPr="009168F7">
        <w:rPr>
          <w:rFonts w:ascii="Trebuchet MS" w:eastAsia="Times New Roman" w:hAnsi="Trebuchet MS"/>
          <w:sz w:val="20"/>
          <w:szCs w:val="20"/>
        </w:rPr>
        <w:t xml:space="preserve"> </w:t>
      </w:r>
      <w:r>
        <w:rPr>
          <w:rFonts w:ascii="Trebuchet MS" w:eastAsia="Times New Roman" w:hAnsi="Trebuchet MS"/>
          <w:sz w:val="20"/>
          <w:szCs w:val="20"/>
        </w:rPr>
        <w:t xml:space="preserve">państwach nienależących do UE i EOG, ale niestosujących szkodliwej konkurencji podatkowej, a jednocześnie będących ważnymi partnerami handlowymi dla Polski. Chodzi w szczególności (co najmniej) o Stany Zjednoczone, </w:t>
      </w:r>
      <w:r w:rsidRPr="009168F7">
        <w:rPr>
          <w:rFonts w:ascii="Trebuchet MS" w:eastAsia="Times New Roman" w:hAnsi="Trebuchet MS"/>
          <w:sz w:val="20"/>
          <w:szCs w:val="20"/>
        </w:rPr>
        <w:t>Wielk</w:t>
      </w:r>
      <w:r>
        <w:rPr>
          <w:rFonts w:ascii="Trebuchet MS" w:eastAsia="Times New Roman" w:hAnsi="Trebuchet MS"/>
          <w:sz w:val="20"/>
          <w:szCs w:val="20"/>
        </w:rPr>
        <w:t>ą</w:t>
      </w:r>
      <w:r w:rsidRPr="009168F7">
        <w:rPr>
          <w:rFonts w:ascii="Trebuchet MS" w:eastAsia="Times New Roman" w:hAnsi="Trebuchet MS"/>
          <w:sz w:val="20"/>
          <w:szCs w:val="20"/>
        </w:rPr>
        <w:t xml:space="preserve"> Brytani</w:t>
      </w:r>
      <w:r>
        <w:rPr>
          <w:rFonts w:ascii="Trebuchet MS" w:eastAsia="Times New Roman" w:hAnsi="Trebuchet MS"/>
          <w:sz w:val="20"/>
          <w:szCs w:val="20"/>
        </w:rPr>
        <w:t>ę</w:t>
      </w:r>
      <w:r w:rsidRPr="009168F7">
        <w:rPr>
          <w:rFonts w:ascii="Trebuchet MS" w:eastAsia="Times New Roman" w:hAnsi="Trebuchet MS"/>
          <w:sz w:val="20"/>
          <w:szCs w:val="20"/>
        </w:rPr>
        <w:t xml:space="preserve"> i </w:t>
      </w:r>
      <w:r>
        <w:rPr>
          <w:rFonts w:ascii="Trebuchet MS" w:eastAsia="Times New Roman" w:hAnsi="Trebuchet MS"/>
          <w:sz w:val="20"/>
          <w:szCs w:val="20"/>
        </w:rPr>
        <w:t xml:space="preserve">Konfederację </w:t>
      </w:r>
      <w:r w:rsidRPr="009168F7">
        <w:rPr>
          <w:rFonts w:ascii="Trebuchet MS" w:eastAsia="Times New Roman" w:hAnsi="Trebuchet MS"/>
          <w:sz w:val="20"/>
          <w:szCs w:val="20"/>
        </w:rPr>
        <w:t>Szwajcar</w:t>
      </w:r>
      <w:r>
        <w:rPr>
          <w:rFonts w:ascii="Trebuchet MS" w:eastAsia="Times New Roman" w:hAnsi="Trebuchet MS"/>
          <w:sz w:val="20"/>
          <w:szCs w:val="20"/>
        </w:rPr>
        <w:t xml:space="preserve">ską, Kanadę i Japonię. </w:t>
      </w:r>
    </w:p>
    <w:p w14:paraId="49762E40" w14:textId="77777777" w:rsidR="00C904DE" w:rsidRPr="009168F7" w:rsidRDefault="00C904DE" w:rsidP="00C904DE">
      <w:pPr>
        <w:pStyle w:val="Akapitzlist"/>
        <w:spacing w:line="360" w:lineRule="auto"/>
        <w:ind w:left="0"/>
        <w:jc w:val="both"/>
        <w:rPr>
          <w:rFonts w:ascii="Trebuchet MS" w:hAnsi="Trebuchet MS" w:cs="Arial"/>
          <w:b/>
          <w:bCs/>
          <w:sz w:val="20"/>
          <w:szCs w:val="20"/>
          <w:u w:val="single"/>
        </w:rPr>
      </w:pPr>
    </w:p>
    <w:p w14:paraId="55D91E3F" w14:textId="77777777" w:rsidR="00C904DE" w:rsidRPr="009168F7" w:rsidRDefault="00C904DE" w:rsidP="00C904DE">
      <w:pPr>
        <w:pStyle w:val="Akapitzlist"/>
        <w:numPr>
          <w:ilvl w:val="0"/>
          <w:numId w:val="1"/>
        </w:numPr>
        <w:spacing w:line="360" w:lineRule="auto"/>
        <w:ind w:left="0" w:hanging="284"/>
        <w:jc w:val="both"/>
        <w:rPr>
          <w:rFonts w:ascii="Trebuchet MS" w:hAnsi="Trebuchet MS" w:cs="Arial"/>
          <w:b/>
          <w:bCs/>
          <w:sz w:val="20"/>
          <w:szCs w:val="20"/>
          <w:u w:val="single"/>
        </w:rPr>
      </w:pPr>
      <w:r w:rsidRPr="009168F7">
        <w:rPr>
          <w:rFonts w:ascii="Trebuchet MS" w:hAnsi="Trebuchet MS" w:cs="Arial"/>
          <w:b/>
          <w:bCs/>
          <w:sz w:val="20"/>
          <w:szCs w:val="20"/>
          <w:u w:val="single"/>
        </w:rPr>
        <w:t xml:space="preserve">Opodatkowanie czynności reorganizacyjnych </w:t>
      </w:r>
    </w:p>
    <w:p w14:paraId="62F434B6" w14:textId="39124F4F" w:rsidR="00516520" w:rsidRPr="00516520" w:rsidRDefault="00C904DE" w:rsidP="00C904DE">
      <w:pPr>
        <w:pStyle w:val="xmsonormal"/>
        <w:spacing w:line="360" w:lineRule="auto"/>
        <w:jc w:val="both"/>
        <w:rPr>
          <w:rFonts w:ascii="Trebuchet MS" w:hAnsi="Trebuchet MS" w:cs="Arial"/>
          <w:sz w:val="20"/>
          <w:szCs w:val="20"/>
        </w:rPr>
      </w:pPr>
      <w:r>
        <w:rPr>
          <w:rFonts w:ascii="Trebuchet MS" w:hAnsi="Trebuchet MS"/>
          <w:sz w:val="20"/>
          <w:szCs w:val="20"/>
        </w:rPr>
        <w:t xml:space="preserve">IGCC z przykrością odnotowuje brak uwzględnienia bardzo istotnych postulatów dotyczących </w:t>
      </w:r>
      <w:r w:rsidRPr="009168F7">
        <w:rPr>
          <w:rFonts w:ascii="Trebuchet MS" w:hAnsi="Trebuchet MS"/>
          <w:sz w:val="20"/>
          <w:szCs w:val="20"/>
        </w:rPr>
        <w:t>reżim</w:t>
      </w:r>
      <w:r>
        <w:rPr>
          <w:rFonts w:ascii="Trebuchet MS" w:hAnsi="Trebuchet MS"/>
          <w:sz w:val="20"/>
          <w:szCs w:val="20"/>
        </w:rPr>
        <w:t>u opodatkowania</w:t>
      </w:r>
      <w:r w:rsidRPr="009168F7">
        <w:rPr>
          <w:rFonts w:ascii="Trebuchet MS" w:hAnsi="Trebuchet MS"/>
          <w:sz w:val="20"/>
          <w:szCs w:val="20"/>
        </w:rPr>
        <w:t xml:space="preserve"> czynności reorganizacyjnych (podziały, połączenia, aporty), który w wyniku nowelizacji z października 2021 r. został istotnie </w:t>
      </w:r>
      <w:r>
        <w:rPr>
          <w:rFonts w:ascii="Trebuchet MS" w:hAnsi="Trebuchet MS"/>
          <w:sz w:val="20"/>
          <w:szCs w:val="20"/>
        </w:rPr>
        <w:t xml:space="preserve">zmieniony w ten sposób, że obecnie jest niezrozumiały, wewnętrznie sprzeczny i trudny do zastosowania, a także niezgodny z przepisami wspólnotowymi. Szeroki opis problemów i postulatów związanych z działaniami reorganizacyjnymi został zawarty w piśmie złożonym przez IGCC w ramach wcześniejszych konsultacji (przesyłamy w załączeniu). </w:t>
      </w:r>
      <w:bookmarkEnd w:id="1"/>
    </w:p>
    <w:sectPr w:rsidR="00516520" w:rsidRPr="00516520" w:rsidSect="006F56C0">
      <w:headerReference w:type="default" r:id="rId9"/>
      <w:footerReference w:type="default" r:id="rId10"/>
      <w:pgSz w:w="11906" w:h="16838"/>
      <w:pgMar w:top="1417" w:right="1417" w:bottom="1417" w:left="1417" w:header="397" w:footer="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6580C" w16cex:dateUtc="2022-07-11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6EA86" w16cid:durableId="267658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3D0F0" w14:textId="77777777" w:rsidR="00244AA6" w:rsidRDefault="00244AA6" w:rsidP="00DF0072">
      <w:pPr>
        <w:spacing w:after="0" w:line="240" w:lineRule="auto"/>
      </w:pPr>
      <w:r>
        <w:separator/>
      </w:r>
    </w:p>
  </w:endnote>
  <w:endnote w:type="continuationSeparator" w:id="0">
    <w:p w14:paraId="36B2D38C" w14:textId="77777777" w:rsidR="00244AA6" w:rsidRDefault="00244AA6" w:rsidP="00DF0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A76A0" w14:textId="76C075E4" w:rsidR="00DF0072" w:rsidRDefault="00A81B56" w:rsidP="009D39CF">
    <w:pPr>
      <w:pStyle w:val="Stopka"/>
      <w:ind w:left="-993"/>
    </w:pPr>
    <w:r>
      <w:rPr>
        <w:noProof/>
        <w:lang w:eastAsia="pl-PL"/>
      </w:rPr>
      <w:drawing>
        <wp:inline distT="0" distB="0" distL="0" distR="0" wp14:anchorId="4BB6455C" wp14:editId="2A8FC50C">
          <wp:extent cx="7115175" cy="160232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ka3.jpg"/>
                  <pic:cNvPicPr/>
                </pic:nvPicPr>
                <pic:blipFill>
                  <a:blip r:embed="rId1">
                    <a:extLst>
                      <a:ext uri="{28A0092B-C50C-407E-A947-70E740481C1C}">
                        <a14:useLocalDpi xmlns:a14="http://schemas.microsoft.com/office/drawing/2010/main" val="0"/>
                      </a:ext>
                    </a:extLst>
                  </a:blip>
                  <a:stretch>
                    <a:fillRect/>
                  </a:stretch>
                </pic:blipFill>
                <pic:spPr>
                  <a:xfrm>
                    <a:off x="0" y="0"/>
                    <a:ext cx="7144069" cy="160883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9DFD3" w14:textId="77777777" w:rsidR="00244AA6" w:rsidRDefault="00244AA6" w:rsidP="00DF0072">
      <w:pPr>
        <w:spacing w:after="0" w:line="240" w:lineRule="auto"/>
      </w:pPr>
      <w:r>
        <w:separator/>
      </w:r>
    </w:p>
  </w:footnote>
  <w:footnote w:type="continuationSeparator" w:id="0">
    <w:p w14:paraId="6C3836C3" w14:textId="77777777" w:rsidR="00244AA6" w:rsidRDefault="00244AA6" w:rsidP="00DF0072">
      <w:pPr>
        <w:spacing w:after="0" w:line="240" w:lineRule="auto"/>
      </w:pPr>
      <w:r>
        <w:continuationSeparator/>
      </w:r>
    </w:p>
  </w:footnote>
  <w:footnote w:id="1">
    <w:p w14:paraId="66516008" w14:textId="77777777" w:rsidR="00516520" w:rsidRPr="00C904DE" w:rsidRDefault="00516520" w:rsidP="00516520">
      <w:pPr>
        <w:pStyle w:val="Tekstprzypisudolnego"/>
        <w:rPr>
          <w:rFonts w:ascii="Trebuchet MS" w:hAnsi="Trebuchet MS"/>
          <w:sz w:val="18"/>
          <w:szCs w:val="18"/>
        </w:rPr>
      </w:pPr>
      <w:r w:rsidRPr="00C904DE">
        <w:rPr>
          <w:rStyle w:val="Odwoanieprzypisudolnego"/>
          <w:rFonts w:ascii="Trebuchet MS" w:hAnsi="Trebuchet MS"/>
          <w:sz w:val="18"/>
          <w:szCs w:val="18"/>
        </w:rPr>
        <w:footnoteRef/>
      </w:r>
      <w:r w:rsidRPr="00C904DE">
        <w:rPr>
          <w:rFonts w:ascii="Trebuchet MS" w:hAnsi="Trebuchet MS"/>
          <w:sz w:val="18"/>
          <w:szCs w:val="18"/>
        </w:rPr>
        <w:t xml:space="preserve"> Ustawa z dnia 28 listopada 2020 r. o zmianie ustawy o podatku dochodowym od osób fizycznych, ustawy o podatku dochodowym od osób prawnych, ustawy o zryczałtowanym podatku dochodowym od niektórych przychodów osiąganych przez osoby fizyczne oraz niektórych innych ustaw (Dz. U. z. 2020 poz. 2123)</w:t>
      </w:r>
    </w:p>
  </w:footnote>
  <w:footnote w:id="2">
    <w:p w14:paraId="556D58E8" w14:textId="77777777" w:rsidR="00516520" w:rsidRPr="003615CB" w:rsidRDefault="00516520" w:rsidP="00516520">
      <w:pPr>
        <w:pStyle w:val="Tekstprzypisudolnego"/>
      </w:pPr>
      <w:r>
        <w:rPr>
          <w:rStyle w:val="Odwoanieprzypisudolnego"/>
        </w:rPr>
        <w:footnoteRef/>
      </w:r>
      <w:r w:rsidRPr="003615CB">
        <w:t xml:space="preserve"> Por. art. 11o ust. 1b Ust</w:t>
      </w:r>
      <w:r>
        <w:t>awy o CIT.</w:t>
      </w:r>
    </w:p>
  </w:footnote>
  <w:footnote w:id="3">
    <w:p w14:paraId="5EF8A554" w14:textId="77777777" w:rsidR="00516520" w:rsidRPr="00516520" w:rsidRDefault="00516520" w:rsidP="00516520">
      <w:pPr>
        <w:pStyle w:val="Tekstprzypisudolnego"/>
        <w:rPr>
          <w:rFonts w:ascii="Trebuchet MS" w:hAnsi="Trebuchet MS"/>
          <w:sz w:val="18"/>
          <w:szCs w:val="18"/>
        </w:rPr>
      </w:pPr>
      <w:r w:rsidRPr="00516520">
        <w:rPr>
          <w:rStyle w:val="Odwoanieprzypisudolnego"/>
          <w:rFonts w:ascii="Trebuchet MS" w:hAnsi="Trebuchet MS"/>
          <w:sz w:val="18"/>
          <w:szCs w:val="18"/>
        </w:rPr>
        <w:footnoteRef/>
      </w:r>
      <w:r w:rsidRPr="00516520">
        <w:rPr>
          <w:rFonts w:ascii="Trebuchet MS" w:hAnsi="Trebuchet MS"/>
          <w:sz w:val="18"/>
          <w:szCs w:val="18"/>
        </w:rPr>
        <w:t xml:space="preserve"> Dz. U. z 2021 poz. 1540</w:t>
      </w:r>
    </w:p>
  </w:footnote>
  <w:footnote w:id="4">
    <w:p w14:paraId="57E469D5" w14:textId="77777777" w:rsidR="00C904DE" w:rsidRPr="00521891" w:rsidRDefault="00C904DE" w:rsidP="00C904DE">
      <w:pPr>
        <w:pStyle w:val="Tekstprzypisudolnego"/>
        <w:rPr>
          <w:rFonts w:ascii="Trebuchet MS" w:hAnsi="Trebuchet MS"/>
          <w:sz w:val="18"/>
          <w:szCs w:val="18"/>
        </w:rPr>
      </w:pPr>
      <w:r w:rsidRPr="00521891">
        <w:rPr>
          <w:rStyle w:val="Odwoanieprzypisudolnego"/>
          <w:rFonts w:ascii="Trebuchet MS" w:hAnsi="Trebuchet MS"/>
          <w:sz w:val="18"/>
          <w:szCs w:val="18"/>
        </w:rPr>
        <w:footnoteRef/>
      </w:r>
      <w:r w:rsidRPr="00521891">
        <w:rPr>
          <w:rFonts w:ascii="Trebuchet MS" w:hAnsi="Trebuchet MS"/>
          <w:sz w:val="18"/>
          <w:szCs w:val="18"/>
        </w:rPr>
        <w:t xml:space="preserve"> </w:t>
      </w:r>
      <w:hyperlink r:id="rId1" w:history="1">
        <w:r w:rsidRPr="00521891">
          <w:rPr>
            <w:rStyle w:val="Hipercze"/>
            <w:rFonts w:ascii="Trebuchet MS" w:hAnsi="Trebuchet MS"/>
            <w:sz w:val="18"/>
            <w:szCs w:val="18"/>
          </w:rPr>
          <w:t>https://eur-lex.europa.eu/legal-content/EN/TXT/PDF/?uri=CELEX:52020DC0383&amp;rid=3</w:t>
        </w:r>
      </w:hyperlink>
    </w:p>
    <w:p w14:paraId="70BCFF1F" w14:textId="77777777" w:rsidR="00C904DE" w:rsidRDefault="00C904DE" w:rsidP="00C904DE">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DB7A6" w14:textId="3B86A43A" w:rsidR="00DF0072" w:rsidRDefault="00BA2150" w:rsidP="00BA2150">
    <w:pPr>
      <w:pStyle w:val="Nagwek"/>
      <w:tabs>
        <w:tab w:val="clear" w:pos="4536"/>
        <w:tab w:val="clear" w:pos="9072"/>
        <w:tab w:val="left" w:pos="7572"/>
      </w:tabs>
      <w:ind w:left="-851"/>
    </w:pPr>
    <w:r w:rsidRPr="00B4430A">
      <w:rPr>
        <w:noProof/>
        <w:lang w:eastAsia="pl-PL"/>
      </w:rPr>
      <w:drawing>
        <wp:anchor distT="0" distB="0" distL="114300" distR="114300" simplePos="0" relativeHeight="251661312" behindDoc="0" locked="0" layoutInCell="1" allowOverlap="1" wp14:anchorId="538A6688" wp14:editId="4DCC3337">
          <wp:simplePos x="0" y="0"/>
          <wp:positionH relativeFrom="margin">
            <wp:posOffset>4130040</wp:posOffset>
          </wp:positionH>
          <wp:positionV relativeFrom="paragraph">
            <wp:posOffset>129540</wp:posOffset>
          </wp:positionV>
          <wp:extent cx="2042160" cy="647700"/>
          <wp:effectExtent l="0" t="0" r="0"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4216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2130038822"/>
        <w:docPartObj>
          <w:docPartGallery w:val="Page Numbers (Margins)"/>
          <w:docPartUnique/>
        </w:docPartObj>
      </w:sdtPr>
      <w:sdtEndPr/>
      <w:sdtContent>
        <w:r w:rsidR="00AD65D2">
          <w:rPr>
            <w:noProof/>
            <w:lang w:eastAsia="pl-PL"/>
          </w:rPr>
          <mc:AlternateContent>
            <mc:Choice Requires="wps">
              <w:drawing>
                <wp:anchor distT="0" distB="0" distL="114300" distR="114300" simplePos="0" relativeHeight="251659264" behindDoc="0" locked="0" layoutInCell="0" allowOverlap="1" wp14:anchorId="6B886B75" wp14:editId="227F5743">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F4EE7" w14:textId="599EF57D" w:rsidR="00AD65D2" w:rsidRDefault="00AD65D2">
                              <w:pPr>
                                <w:pStyle w:val="Stopka"/>
                                <w:rPr>
                                  <w:rFonts w:asciiTheme="majorHAnsi" w:eastAsiaTheme="majorEastAsia" w:hAnsiTheme="majorHAnsi" w:cstheme="majorBidi"/>
                                  <w:sz w:val="44"/>
                                  <w:szCs w:val="44"/>
                                </w:rPr>
                              </w:pPr>
                              <w:r w:rsidRPr="00AD65D2">
                                <w:rPr>
                                  <w:rFonts w:ascii="Trebuchet MS" w:eastAsiaTheme="majorEastAsia" w:hAnsi="Trebuchet MS" w:cstheme="majorBidi"/>
                                  <w:sz w:val="18"/>
                                  <w:szCs w:val="18"/>
                                </w:rPr>
                                <w:t>Strona</w:t>
                              </w:r>
                              <w:r>
                                <w:rPr>
                                  <w:rFonts w:ascii="Trebuchet MS" w:eastAsiaTheme="majorEastAsia" w:hAnsi="Trebuchet MS" w:cstheme="majorBidi"/>
                                  <w:sz w:val="18"/>
                                  <w:szCs w:val="18"/>
                                </w:rPr>
                                <w:t xml:space="preserve"> </w:t>
                              </w:r>
                              <w:r w:rsidRPr="00AD65D2">
                                <w:rPr>
                                  <w:rFonts w:ascii="Trebuchet MS" w:eastAsiaTheme="minorEastAsia" w:hAnsi="Trebuchet MS" w:cs="Times New Roman"/>
                                  <w:sz w:val="18"/>
                                  <w:szCs w:val="18"/>
                                </w:rPr>
                                <w:fldChar w:fldCharType="begin"/>
                              </w:r>
                              <w:r w:rsidRPr="00AD65D2">
                                <w:rPr>
                                  <w:rFonts w:ascii="Trebuchet MS" w:hAnsi="Trebuchet MS"/>
                                  <w:sz w:val="18"/>
                                  <w:szCs w:val="18"/>
                                </w:rPr>
                                <w:instrText>PAGE    \* MERGEFORMAT</w:instrText>
                              </w:r>
                              <w:r w:rsidRPr="00AD65D2">
                                <w:rPr>
                                  <w:rFonts w:ascii="Trebuchet MS" w:eastAsiaTheme="minorEastAsia" w:hAnsi="Trebuchet MS" w:cs="Times New Roman"/>
                                  <w:sz w:val="18"/>
                                  <w:szCs w:val="18"/>
                                </w:rPr>
                                <w:fldChar w:fldCharType="separate"/>
                              </w:r>
                              <w:r w:rsidR="00521891" w:rsidRPr="00521891">
                                <w:rPr>
                                  <w:rFonts w:ascii="Trebuchet MS" w:eastAsiaTheme="majorEastAsia" w:hAnsi="Trebuchet MS" w:cstheme="majorBidi"/>
                                  <w:noProof/>
                                  <w:sz w:val="18"/>
                                  <w:szCs w:val="18"/>
                                </w:rPr>
                                <w:t>23</w:t>
                              </w:r>
                              <w:r w:rsidRPr="00AD65D2">
                                <w:rPr>
                                  <w:rFonts w:ascii="Trebuchet MS" w:eastAsiaTheme="majorEastAsia" w:hAnsi="Trebuchet MS" w:cstheme="majorBid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B886B75" id="Prostokąt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B8F4EE7" w14:textId="599EF57D" w:rsidR="00AD65D2" w:rsidRDefault="00AD65D2">
                        <w:pPr>
                          <w:pStyle w:val="Stopka"/>
                          <w:rPr>
                            <w:rFonts w:asciiTheme="majorHAnsi" w:eastAsiaTheme="majorEastAsia" w:hAnsiTheme="majorHAnsi" w:cstheme="majorBidi"/>
                            <w:sz w:val="44"/>
                            <w:szCs w:val="44"/>
                          </w:rPr>
                        </w:pPr>
                        <w:r w:rsidRPr="00AD65D2">
                          <w:rPr>
                            <w:rFonts w:ascii="Trebuchet MS" w:eastAsiaTheme="majorEastAsia" w:hAnsi="Trebuchet MS" w:cstheme="majorBidi"/>
                            <w:sz w:val="18"/>
                            <w:szCs w:val="18"/>
                          </w:rPr>
                          <w:t>Strona</w:t>
                        </w:r>
                        <w:r>
                          <w:rPr>
                            <w:rFonts w:ascii="Trebuchet MS" w:eastAsiaTheme="majorEastAsia" w:hAnsi="Trebuchet MS" w:cstheme="majorBidi"/>
                            <w:sz w:val="18"/>
                            <w:szCs w:val="18"/>
                          </w:rPr>
                          <w:t xml:space="preserve"> </w:t>
                        </w:r>
                        <w:r w:rsidRPr="00AD65D2">
                          <w:rPr>
                            <w:rFonts w:ascii="Trebuchet MS" w:eastAsiaTheme="minorEastAsia" w:hAnsi="Trebuchet MS" w:cs="Times New Roman"/>
                            <w:sz w:val="18"/>
                            <w:szCs w:val="18"/>
                          </w:rPr>
                          <w:fldChar w:fldCharType="begin"/>
                        </w:r>
                        <w:r w:rsidRPr="00AD65D2">
                          <w:rPr>
                            <w:rFonts w:ascii="Trebuchet MS" w:hAnsi="Trebuchet MS"/>
                            <w:sz w:val="18"/>
                            <w:szCs w:val="18"/>
                          </w:rPr>
                          <w:instrText>PAGE    \* MERGEFORMAT</w:instrText>
                        </w:r>
                        <w:r w:rsidRPr="00AD65D2">
                          <w:rPr>
                            <w:rFonts w:ascii="Trebuchet MS" w:eastAsiaTheme="minorEastAsia" w:hAnsi="Trebuchet MS" w:cs="Times New Roman"/>
                            <w:sz w:val="18"/>
                            <w:szCs w:val="18"/>
                          </w:rPr>
                          <w:fldChar w:fldCharType="separate"/>
                        </w:r>
                        <w:r w:rsidR="00521891" w:rsidRPr="00521891">
                          <w:rPr>
                            <w:rFonts w:ascii="Trebuchet MS" w:eastAsiaTheme="majorEastAsia" w:hAnsi="Trebuchet MS" w:cstheme="majorBidi"/>
                            <w:noProof/>
                            <w:sz w:val="18"/>
                            <w:szCs w:val="18"/>
                          </w:rPr>
                          <w:t>23</w:t>
                        </w:r>
                        <w:r w:rsidRPr="00AD65D2">
                          <w:rPr>
                            <w:rFonts w:ascii="Trebuchet MS" w:eastAsiaTheme="majorEastAsia" w:hAnsi="Trebuchet MS" w:cstheme="majorBidi"/>
                            <w:sz w:val="18"/>
                            <w:szCs w:val="18"/>
                          </w:rPr>
                          <w:fldChar w:fldCharType="end"/>
                        </w:r>
                      </w:p>
                    </w:txbxContent>
                  </v:textbox>
                  <w10:wrap anchorx="margin" anchory="margin"/>
                </v:rect>
              </w:pict>
            </mc:Fallback>
          </mc:AlternateContent>
        </w:r>
      </w:sdtContent>
    </w:sdt>
    <w:r w:rsidR="006F56C0">
      <w:rPr>
        <w:noProof/>
        <w:lang w:eastAsia="pl-PL"/>
      </w:rPr>
      <w:drawing>
        <wp:inline distT="0" distB="0" distL="0" distR="0" wp14:anchorId="09BCF0A8" wp14:editId="30691E25">
          <wp:extent cx="2020634" cy="918541"/>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20634" cy="918541"/>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E4123"/>
    <w:multiLevelType w:val="hybridMultilevel"/>
    <w:tmpl w:val="EC2C00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364540"/>
    <w:multiLevelType w:val="hybridMultilevel"/>
    <w:tmpl w:val="C49C2402"/>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FDF58BA"/>
    <w:multiLevelType w:val="hybridMultilevel"/>
    <w:tmpl w:val="1A1264FA"/>
    <w:lvl w:ilvl="0" w:tplc="4D6A437E">
      <w:start w:val="1"/>
      <w:numFmt w:val="upperLetter"/>
      <w:lvlText w:val="%1."/>
      <w:lvlJc w:val="left"/>
      <w:pPr>
        <w:ind w:left="720" w:hanging="360"/>
      </w:pPr>
      <w:rPr>
        <w:rFonts w:ascii="Trebuchet MS" w:eastAsiaTheme="minorEastAsia" w:hAnsi="Trebuchet M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2969E3"/>
    <w:multiLevelType w:val="hybridMultilevel"/>
    <w:tmpl w:val="46C0B090"/>
    <w:lvl w:ilvl="0" w:tplc="7F624D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836EB4"/>
    <w:multiLevelType w:val="hybridMultilevel"/>
    <w:tmpl w:val="A0A46002"/>
    <w:lvl w:ilvl="0" w:tplc="C85E399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2513E8"/>
    <w:multiLevelType w:val="hybridMultilevel"/>
    <w:tmpl w:val="A350CD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7C03C51"/>
    <w:multiLevelType w:val="hybridMultilevel"/>
    <w:tmpl w:val="EC2C0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3374EF"/>
    <w:multiLevelType w:val="hybridMultilevel"/>
    <w:tmpl w:val="A7BC8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87378F"/>
    <w:multiLevelType w:val="hybridMultilevel"/>
    <w:tmpl w:val="7ABA9696"/>
    <w:lvl w:ilvl="0" w:tplc="88CA120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E25F0E"/>
    <w:multiLevelType w:val="hybridMultilevel"/>
    <w:tmpl w:val="ECFE64E8"/>
    <w:lvl w:ilvl="0" w:tplc="26CCE46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7B07BE"/>
    <w:multiLevelType w:val="hybridMultilevel"/>
    <w:tmpl w:val="387A01CC"/>
    <w:lvl w:ilvl="0" w:tplc="5158F77C">
      <w:start w:val="1"/>
      <w:numFmt w:val="lowerLetter"/>
      <w:lvlText w:val="%1)"/>
      <w:lvlJc w:val="left"/>
      <w:pPr>
        <w:ind w:left="1068" w:hanging="360"/>
      </w:pPr>
      <w:rPr>
        <w:rFonts w:hint="default"/>
        <w:b w:val="0"/>
        <w:bCs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51E80A18"/>
    <w:multiLevelType w:val="hybridMultilevel"/>
    <w:tmpl w:val="93F24AF2"/>
    <w:lvl w:ilvl="0" w:tplc="8D28B956">
      <w:start w:val="1"/>
      <w:numFmt w:val="upp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2721FE"/>
    <w:multiLevelType w:val="multilevel"/>
    <w:tmpl w:val="110EAC68"/>
    <w:lvl w:ilvl="0">
      <w:start w:val="1"/>
      <w:numFmt w:val="decimal"/>
      <w:lvlText w:val="%1."/>
      <w:lvlJc w:val="left"/>
      <w:pPr>
        <w:tabs>
          <w:tab w:val="num" w:pos="720"/>
        </w:tabs>
        <w:ind w:left="720" w:hanging="360"/>
      </w:pPr>
      <w:rPr>
        <w:rFonts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7D5DD3"/>
    <w:multiLevelType w:val="hybridMultilevel"/>
    <w:tmpl w:val="563E104C"/>
    <w:lvl w:ilvl="0" w:tplc="0415001B">
      <w:start w:val="1"/>
      <w:numFmt w:val="lowerRoman"/>
      <w:lvlText w:val="%1."/>
      <w:lvlJc w:val="right"/>
      <w:pPr>
        <w:ind w:left="1068" w:hanging="360"/>
      </w:pPr>
      <w:rPr>
        <w:rFonts w:hint="default"/>
        <w:b w:val="0"/>
        <w:bCs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73EF65B8"/>
    <w:multiLevelType w:val="hybridMultilevel"/>
    <w:tmpl w:val="968C1828"/>
    <w:lvl w:ilvl="0" w:tplc="1BF6EC9A">
      <w:start w:val="1"/>
      <w:numFmt w:val="upperLetter"/>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9"/>
  </w:num>
  <w:num w:numId="5">
    <w:abstractNumId w:val="0"/>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2"/>
  </w:num>
  <w:num w:numId="11">
    <w:abstractNumId w:val="14"/>
  </w:num>
  <w:num w:numId="12">
    <w:abstractNumId w:val="11"/>
  </w:num>
  <w:num w:numId="13">
    <w:abstractNumId w:val="7"/>
  </w:num>
  <w:num w:numId="14">
    <w:abstractNumId w:val="8"/>
  </w:num>
  <w:num w:numId="15">
    <w:abstractNumId w:val="3"/>
  </w:num>
  <w:num w:numId="1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538ED8F1-03A3-4033-A40F-CD34AC183DFD}"/>
  </w:docVars>
  <w:rsids>
    <w:rsidRoot w:val="00DF0072"/>
    <w:rsid w:val="0000500C"/>
    <w:rsid w:val="00016662"/>
    <w:rsid w:val="000224DB"/>
    <w:rsid w:val="00030450"/>
    <w:rsid w:val="000324D7"/>
    <w:rsid w:val="0004140C"/>
    <w:rsid w:val="00052E1D"/>
    <w:rsid w:val="00054EBC"/>
    <w:rsid w:val="00056791"/>
    <w:rsid w:val="00057F81"/>
    <w:rsid w:val="00062C2A"/>
    <w:rsid w:val="00070ED0"/>
    <w:rsid w:val="000713B4"/>
    <w:rsid w:val="00074CBA"/>
    <w:rsid w:val="000768EC"/>
    <w:rsid w:val="00076AD7"/>
    <w:rsid w:val="00080A9A"/>
    <w:rsid w:val="0008358E"/>
    <w:rsid w:val="00083B83"/>
    <w:rsid w:val="000840C6"/>
    <w:rsid w:val="00090E9C"/>
    <w:rsid w:val="000968ED"/>
    <w:rsid w:val="00097C96"/>
    <w:rsid w:val="000A7F50"/>
    <w:rsid w:val="000B014C"/>
    <w:rsid w:val="000B485A"/>
    <w:rsid w:val="000B5450"/>
    <w:rsid w:val="000B5BEF"/>
    <w:rsid w:val="000B6AE1"/>
    <w:rsid w:val="000C21B5"/>
    <w:rsid w:val="000C4D5C"/>
    <w:rsid w:val="000D3C03"/>
    <w:rsid w:val="000E5725"/>
    <w:rsid w:val="000E68D6"/>
    <w:rsid w:val="000F18A1"/>
    <w:rsid w:val="000F54D4"/>
    <w:rsid w:val="000F72FD"/>
    <w:rsid w:val="001007FF"/>
    <w:rsid w:val="00103FFA"/>
    <w:rsid w:val="0010599E"/>
    <w:rsid w:val="00106F0B"/>
    <w:rsid w:val="00112B4C"/>
    <w:rsid w:val="00113A0C"/>
    <w:rsid w:val="00114FC8"/>
    <w:rsid w:val="001204B7"/>
    <w:rsid w:val="001206A6"/>
    <w:rsid w:val="00123D2C"/>
    <w:rsid w:val="00124E9E"/>
    <w:rsid w:val="00126CA6"/>
    <w:rsid w:val="001337BC"/>
    <w:rsid w:val="00133DDA"/>
    <w:rsid w:val="00136727"/>
    <w:rsid w:val="00136B82"/>
    <w:rsid w:val="00142A4B"/>
    <w:rsid w:val="00146C6E"/>
    <w:rsid w:val="00146C73"/>
    <w:rsid w:val="001526B9"/>
    <w:rsid w:val="0015447F"/>
    <w:rsid w:val="00170D19"/>
    <w:rsid w:val="001763DE"/>
    <w:rsid w:val="001805E0"/>
    <w:rsid w:val="001844FF"/>
    <w:rsid w:val="00196470"/>
    <w:rsid w:val="00196A3C"/>
    <w:rsid w:val="001A105E"/>
    <w:rsid w:val="001A16E8"/>
    <w:rsid w:val="001A1B9A"/>
    <w:rsid w:val="001A7942"/>
    <w:rsid w:val="001C16A0"/>
    <w:rsid w:val="001C7FED"/>
    <w:rsid w:val="001D05DD"/>
    <w:rsid w:val="001E4074"/>
    <w:rsid w:val="001F0471"/>
    <w:rsid w:val="001F2053"/>
    <w:rsid w:val="001F26E2"/>
    <w:rsid w:val="001F2E61"/>
    <w:rsid w:val="001F5A20"/>
    <w:rsid w:val="002007A8"/>
    <w:rsid w:val="00202886"/>
    <w:rsid w:val="002068C9"/>
    <w:rsid w:val="0021055C"/>
    <w:rsid w:val="002161A1"/>
    <w:rsid w:val="00216571"/>
    <w:rsid w:val="00216704"/>
    <w:rsid w:val="002229C1"/>
    <w:rsid w:val="0022317B"/>
    <w:rsid w:val="0022672C"/>
    <w:rsid w:val="00230814"/>
    <w:rsid w:val="002312B3"/>
    <w:rsid w:val="00231F7B"/>
    <w:rsid w:val="00234795"/>
    <w:rsid w:val="00236763"/>
    <w:rsid w:val="00243BA9"/>
    <w:rsid w:val="00244AA6"/>
    <w:rsid w:val="002510C2"/>
    <w:rsid w:val="00251BE8"/>
    <w:rsid w:val="0025488C"/>
    <w:rsid w:val="002646D8"/>
    <w:rsid w:val="00270C79"/>
    <w:rsid w:val="002715F9"/>
    <w:rsid w:val="00276937"/>
    <w:rsid w:val="00282835"/>
    <w:rsid w:val="002852E8"/>
    <w:rsid w:val="00286FFC"/>
    <w:rsid w:val="00293238"/>
    <w:rsid w:val="00294F90"/>
    <w:rsid w:val="00296619"/>
    <w:rsid w:val="002A135D"/>
    <w:rsid w:val="002A3A54"/>
    <w:rsid w:val="002B0344"/>
    <w:rsid w:val="002B316A"/>
    <w:rsid w:val="002B464D"/>
    <w:rsid w:val="002B6270"/>
    <w:rsid w:val="002B7A84"/>
    <w:rsid w:val="002C150B"/>
    <w:rsid w:val="002C1C0D"/>
    <w:rsid w:val="002C2220"/>
    <w:rsid w:val="002C28E9"/>
    <w:rsid w:val="002C610D"/>
    <w:rsid w:val="002D2319"/>
    <w:rsid w:val="002E2678"/>
    <w:rsid w:val="002F3C5C"/>
    <w:rsid w:val="002F4B39"/>
    <w:rsid w:val="0030439E"/>
    <w:rsid w:val="003052DA"/>
    <w:rsid w:val="00310821"/>
    <w:rsid w:val="00316123"/>
    <w:rsid w:val="003170A8"/>
    <w:rsid w:val="00317939"/>
    <w:rsid w:val="00320D3D"/>
    <w:rsid w:val="00321C4C"/>
    <w:rsid w:val="0032767A"/>
    <w:rsid w:val="003308FD"/>
    <w:rsid w:val="003361D0"/>
    <w:rsid w:val="003365BA"/>
    <w:rsid w:val="00342EE2"/>
    <w:rsid w:val="00344797"/>
    <w:rsid w:val="00345EBB"/>
    <w:rsid w:val="00346F98"/>
    <w:rsid w:val="003529B2"/>
    <w:rsid w:val="003605FA"/>
    <w:rsid w:val="00363479"/>
    <w:rsid w:val="00366D65"/>
    <w:rsid w:val="00367B89"/>
    <w:rsid w:val="00373155"/>
    <w:rsid w:val="00373195"/>
    <w:rsid w:val="00381403"/>
    <w:rsid w:val="00385675"/>
    <w:rsid w:val="003858DB"/>
    <w:rsid w:val="00386B79"/>
    <w:rsid w:val="00387520"/>
    <w:rsid w:val="00390FE9"/>
    <w:rsid w:val="003967DF"/>
    <w:rsid w:val="00396809"/>
    <w:rsid w:val="003A227A"/>
    <w:rsid w:val="003A432E"/>
    <w:rsid w:val="003B029F"/>
    <w:rsid w:val="003B3AA5"/>
    <w:rsid w:val="003B5325"/>
    <w:rsid w:val="003C6A84"/>
    <w:rsid w:val="003C7163"/>
    <w:rsid w:val="003D3A8C"/>
    <w:rsid w:val="003D51C0"/>
    <w:rsid w:val="003D7559"/>
    <w:rsid w:val="003E035E"/>
    <w:rsid w:val="003E108C"/>
    <w:rsid w:val="003E2D89"/>
    <w:rsid w:val="003E4EF7"/>
    <w:rsid w:val="003E519D"/>
    <w:rsid w:val="003E58B7"/>
    <w:rsid w:val="003E7372"/>
    <w:rsid w:val="003F1271"/>
    <w:rsid w:val="003F3D41"/>
    <w:rsid w:val="003F4EDC"/>
    <w:rsid w:val="004038C3"/>
    <w:rsid w:val="004044DA"/>
    <w:rsid w:val="00411637"/>
    <w:rsid w:val="00413E02"/>
    <w:rsid w:val="0042353D"/>
    <w:rsid w:val="0042775B"/>
    <w:rsid w:val="00430378"/>
    <w:rsid w:val="00432636"/>
    <w:rsid w:val="00437069"/>
    <w:rsid w:val="004377BE"/>
    <w:rsid w:val="0044437F"/>
    <w:rsid w:val="0044551A"/>
    <w:rsid w:val="004523E0"/>
    <w:rsid w:val="00453287"/>
    <w:rsid w:val="004562B1"/>
    <w:rsid w:val="00457332"/>
    <w:rsid w:val="00467477"/>
    <w:rsid w:val="00473EA9"/>
    <w:rsid w:val="004740D6"/>
    <w:rsid w:val="004866D3"/>
    <w:rsid w:val="00486A96"/>
    <w:rsid w:val="00490823"/>
    <w:rsid w:val="004909CE"/>
    <w:rsid w:val="00490B53"/>
    <w:rsid w:val="0049145E"/>
    <w:rsid w:val="004965DC"/>
    <w:rsid w:val="004A2BE3"/>
    <w:rsid w:val="004A2F0D"/>
    <w:rsid w:val="004A4237"/>
    <w:rsid w:val="004B23AA"/>
    <w:rsid w:val="004B2D30"/>
    <w:rsid w:val="004B3B9E"/>
    <w:rsid w:val="004B41F2"/>
    <w:rsid w:val="004B72B2"/>
    <w:rsid w:val="004C0FD6"/>
    <w:rsid w:val="004C1E72"/>
    <w:rsid w:val="004C238B"/>
    <w:rsid w:val="004C2BD8"/>
    <w:rsid w:val="004C3505"/>
    <w:rsid w:val="004C3811"/>
    <w:rsid w:val="004C3AE7"/>
    <w:rsid w:val="004C41A0"/>
    <w:rsid w:val="004C729A"/>
    <w:rsid w:val="004D21D2"/>
    <w:rsid w:val="004D64E7"/>
    <w:rsid w:val="004E10D0"/>
    <w:rsid w:val="004F0228"/>
    <w:rsid w:val="004F0D82"/>
    <w:rsid w:val="00505359"/>
    <w:rsid w:val="0050713D"/>
    <w:rsid w:val="005100E1"/>
    <w:rsid w:val="005159DB"/>
    <w:rsid w:val="00516520"/>
    <w:rsid w:val="00517325"/>
    <w:rsid w:val="00521891"/>
    <w:rsid w:val="00522EEA"/>
    <w:rsid w:val="00522F88"/>
    <w:rsid w:val="00527527"/>
    <w:rsid w:val="00531A10"/>
    <w:rsid w:val="00531B88"/>
    <w:rsid w:val="005374D0"/>
    <w:rsid w:val="00541224"/>
    <w:rsid w:val="00542ED1"/>
    <w:rsid w:val="00543082"/>
    <w:rsid w:val="00544396"/>
    <w:rsid w:val="00550E2D"/>
    <w:rsid w:val="00551343"/>
    <w:rsid w:val="005538E4"/>
    <w:rsid w:val="00553E20"/>
    <w:rsid w:val="005550FA"/>
    <w:rsid w:val="00555F82"/>
    <w:rsid w:val="00560227"/>
    <w:rsid w:val="0056709D"/>
    <w:rsid w:val="00570AB1"/>
    <w:rsid w:val="0057346A"/>
    <w:rsid w:val="005745F9"/>
    <w:rsid w:val="00576D4B"/>
    <w:rsid w:val="005817C7"/>
    <w:rsid w:val="00583EA5"/>
    <w:rsid w:val="005846C9"/>
    <w:rsid w:val="005863B9"/>
    <w:rsid w:val="00594D01"/>
    <w:rsid w:val="00597AD5"/>
    <w:rsid w:val="005A21E2"/>
    <w:rsid w:val="005A3515"/>
    <w:rsid w:val="005A364E"/>
    <w:rsid w:val="005B4841"/>
    <w:rsid w:val="005B4C99"/>
    <w:rsid w:val="005C0BBF"/>
    <w:rsid w:val="005C0D3A"/>
    <w:rsid w:val="005C148C"/>
    <w:rsid w:val="005C18C9"/>
    <w:rsid w:val="005D0165"/>
    <w:rsid w:val="005D0C12"/>
    <w:rsid w:val="005D1A9F"/>
    <w:rsid w:val="005D401A"/>
    <w:rsid w:val="005D53F4"/>
    <w:rsid w:val="005D5EDC"/>
    <w:rsid w:val="005E184F"/>
    <w:rsid w:val="005E19CC"/>
    <w:rsid w:val="005E3E68"/>
    <w:rsid w:val="005E458C"/>
    <w:rsid w:val="005E46A8"/>
    <w:rsid w:val="005E567C"/>
    <w:rsid w:val="005E744F"/>
    <w:rsid w:val="005F25FF"/>
    <w:rsid w:val="005F300E"/>
    <w:rsid w:val="0060111B"/>
    <w:rsid w:val="00603717"/>
    <w:rsid w:val="00604FBD"/>
    <w:rsid w:val="00605C0D"/>
    <w:rsid w:val="00607D65"/>
    <w:rsid w:val="00610271"/>
    <w:rsid w:val="00612287"/>
    <w:rsid w:val="006129BD"/>
    <w:rsid w:val="006213AA"/>
    <w:rsid w:val="00622661"/>
    <w:rsid w:val="00624013"/>
    <w:rsid w:val="00626F9D"/>
    <w:rsid w:val="00642A8E"/>
    <w:rsid w:val="0064508F"/>
    <w:rsid w:val="00645897"/>
    <w:rsid w:val="00645CE3"/>
    <w:rsid w:val="00646820"/>
    <w:rsid w:val="00646A15"/>
    <w:rsid w:val="00652F12"/>
    <w:rsid w:val="00654AA5"/>
    <w:rsid w:val="00657C74"/>
    <w:rsid w:val="00665C76"/>
    <w:rsid w:val="00667D6B"/>
    <w:rsid w:val="006714A2"/>
    <w:rsid w:val="00672761"/>
    <w:rsid w:val="00676191"/>
    <w:rsid w:val="00683ADE"/>
    <w:rsid w:val="00684055"/>
    <w:rsid w:val="006862F2"/>
    <w:rsid w:val="0068760D"/>
    <w:rsid w:val="006961CC"/>
    <w:rsid w:val="006A482B"/>
    <w:rsid w:val="006A4C08"/>
    <w:rsid w:val="006A6095"/>
    <w:rsid w:val="006B130F"/>
    <w:rsid w:val="006B4F3C"/>
    <w:rsid w:val="006B5A20"/>
    <w:rsid w:val="006B7E9C"/>
    <w:rsid w:val="006B7F6B"/>
    <w:rsid w:val="006C4A41"/>
    <w:rsid w:val="006C51B0"/>
    <w:rsid w:val="006D54FA"/>
    <w:rsid w:val="006D6D38"/>
    <w:rsid w:val="006D73B3"/>
    <w:rsid w:val="006E1A29"/>
    <w:rsid w:val="006E3435"/>
    <w:rsid w:val="006E4874"/>
    <w:rsid w:val="006F311D"/>
    <w:rsid w:val="006F3CCA"/>
    <w:rsid w:val="006F3DC2"/>
    <w:rsid w:val="006F51EA"/>
    <w:rsid w:val="006F56C0"/>
    <w:rsid w:val="006F5E52"/>
    <w:rsid w:val="00711D99"/>
    <w:rsid w:val="00711EF0"/>
    <w:rsid w:val="0071384C"/>
    <w:rsid w:val="007216E6"/>
    <w:rsid w:val="00722B97"/>
    <w:rsid w:val="00723165"/>
    <w:rsid w:val="0073278F"/>
    <w:rsid w:val="00732CC7"/>
    <w:rsid w:val="00740E65"/>
    <w:rsid w:val="00744391"/>
    <w:rsid w:val="00746A21"/>
    <w:rsid w:val="007476CF"/>
    <w:rsid w:val="00750052"/>
    <w:rsid w:val="00763320"/>
    <w:rsid w:val="00766758"/>
    <w:rsid w:val="0077128A"/>
    <w:rsid w:val="007726B7"/>
    <w:rsid w:val="00774BBD"/>
    <w:rsid w:val="0077529B"/>
    <w:rsid w:val="00780DBE"/>
    <w:rsid w:val="00792A24"/>
    <w:rsid w:val="00792D0D"/>
    <w:rsid w:val="0079739D"/>
    <w:rsid w:val="007A02C1"/>
    <w:rsid w:val="007A1093"/>
    <w:rsid w:val="007A1FF2"/>
    <w:rsid w:val="007A3787"/>
    <w:rsid w:val="007A37FC"/>
    <w:rsid w:val="007B0F4D"/>
    <w:rsid w:val="007B21EB"/>
    <w:rsid w:val="007B4DE0"/>
    <w:rsid w:val="007B6FF7"/>
    <w:rsid w:val="007C46B6"/>
    <w:rsid w:val="007C4939"/>
    <w:rsid w:val="007C52B0"/>
    <w:rsid w:val="007C6DC3"/>
    <w:rsid w:val="007C761F"/>
    <w:rsid w:val="007D7752"/>
    <w:rsid w:val="007E49F2"/>
    <w:rsid w:val="007F19D9"/>
    <w:rsid w:val="007F5CE4"/>
    <w:rsid w:val="00810273"/>
    <w:rsid w:val="00816B1C"/>
    <w:rsid w:val="00824E01"/>
    <w:rsid w:val="00827AF8"/>
    <w:rsid w:val="008315C7"/>
    <w:rsid w:val="00837C0D"/>
    <w:rsid w:val="0084158B"/>
    <w:rsid w:val="00841E3C"/>
    <w:rsid w:val="008458BB"/>
    <w:rsid w:val="00845B4C"/>
    <w:rsid w:val="00846A05"/>
    <w:rsid w:val="00851875"/>
    <w:rsid w:val="00852392"/>
    <w:rsid w:val="00862C6D"/>
    <w:rsid w:val="00863CAE"/>
    <w:rsid w:val="00863F94"/>
    <w:rsid w:val="00864AB8"/>
    <w:rsid w:val="00867707"/>
    <w:rsid w:val="00872EBC"/>
    <w:rsid w:val="008752BC"/>
    <w:rsid w:val="00875635"/>
    <w:rsid w:val="008760FE"/>
    <w:rsid w:val="00877C81"/>
    <w:rsid w:val="00880765"/>
    <w:rsid w:val="0088362C"/>
    <w:rsid w:val="00883661"/>
    <w:rsid w:val="0088406F"/>
    <w:rsid w:val="00884773"/>
    <w:rsid w:val="0088534E"/>
    <w:rsid w:val="00890533"/>
    <w:rsid w:val="008918D8"/>
    <w:rsid w:val="00893B4B"/>
    <w:rsid w:val="008978D2"/>
    <w:rsid w:val="008A5731"/>
    <w:rsid w:val="008A59C2"/>
    <w:rsid w:val="008B5655"/>
    <w:rsid w:val="008C40AE"/>
    <w:rsid w:val="008D0413"/>
    <w:rsid w:val="008D202E"/>
    <w:rsid w:val="008D6874"/>
    <w:rsid w:val="008E0BE2"/>
    <w:rsid w:val="008E4ACE"/>
    <w:rsid w:val="008E4EED"/>
    <w:rsid w:val="008E6A31"/>
    <w:rsid w:val="008F0E1B"/>
    <w:rsid w:val="008F3903"/>
    <w:rsid w:val="008F5919"/>
    <w:rsid w:val="00907584"/>
    <w:rsid w:val="00911FEC"/>
    <w:rsid w:val="00912FB2"/>
    <w:rsid w:val="00913505"/>
    <w:rsid w:val="00914B8C"/>
    <w:rsid w:val="00920BD1"/>
    <w:rsid w:val="00934040"/>
    <w:rsid w:val="0093404A"/>
    <w:rsid w:val="00937BA5"/>
    <w:rsid w:val="00945289"/>
    <w:rsid w:val="00947932"/>
    <w:rsid w:val="00950D18"/>
    <w:rsid w:val="0095182A"/>
    <w:rsid w:val="00951BC8"/>
    <w:rsid w:val="00966B96"/>
    <w:rsid w:val="00971A2F"/>
    <w:rsid w:val="0098672B"/>
    <w:rsid w:val="009A0460"/>
    <w:rsid w:val="009A05E1"/>
    <w:rsid w:val="009A55D5"/>
    <w:rsid w:val="009B4701"/>
    <w:rsid w:val="009C0DD7"/>
    <w:rsid w:val="009C168D"/>
    <w:rsid w:val="009C4CD4"/>
    <w:rsid w:val="009C5742"/>
    <w:rsid w:val="009D0F55"/>
    <w:rsid w:val="009D2116"/>
    <w:rsid w:val="009D334E"/>
    <w:rsid w:val="009D3635"/>
    <w:rsid w:val="009D39CF"/>
    <w:rsid w:val="009D7F72"/>
    <w:rsid w:val="009E7D43"/>
    <w:rsid w:val="009F18D5"/>
    <w:rsid w:val="009F451F"/>
    <w:rsid w:val="00A00728"/>
    <w:rsid w:val="00A040A1"/>
    <w:rsid w:val="00A1250F"/>
    <w:rsid w:val="00A27CB5"/>
    <w:rsid w:val="00A27D08"/>
    <w:rsid w:val="00A376CF"/>
    <w:rsid w:val="00A452AB"/>
    <w:rsid w:val="00A47B82"/>
    <w:rsid w:val="00A51C8B"/>
    <w:rsid w:val="00A54F5F"/>
    <w:rsid w:val="00A601A5"/>
    <w:rsid w:val="00A61830"/>
    <w:rsid w:val="00A63DE3"/>
    <w:rsid w:val="00A71B3E"/>
    <w:rsid w:val="00A724EF"/>
    <w:rsid w:val="00A806B6"/>
    <w:rsid w:val="00A813D1"/>
    <w:rsid w:val="00A81B56"/>
    <w:rsid w:val="00A84370"/>
    <w:rsid w:val="00A849FB"/>
    <w:rsid w:val="00A85A8A"/>
    <w:rsid w:val="00A9154A"/>
    <w:rsid w:val="00A918F7"/>
    <w:rsid w:val="00A92403"/>
    <w:rsid w:val="00A96E28"/>
    <w:rsid w:val="00AA1542"/>
    <w:rsid w:val="00AA1F12"/>
    <w:rsid w:val="00AA7ED8"/>
    <w:rsid w:val="00AC0921"/>
    <w:rsid w:val="00AD1FB9"/>
    <w:rsid w:val="00AD2CEA"/>
    <w:rsid w:val="00AD31BA"/>
    <w:rsid w:val="00AD4EAD"/>
    <w:rsid w:val="00AD50CA"/>
    <w:rsid w:val="00AD5F32"/>
    <w:rsid w:val="00AD65D2"/>
    <w:rsid w:val="00AE1A73"/>
    <w:rsid w:val="00AF0BD6"/>
    <w:rsid w:val="00AF0CC9"/>
    <w:rsid w:val="00AF4DBF"/>
    <w:rsid w:val="00B026AA"/>
    <w:rsid w:val="00B04F62"/>
    <w:rsid w:val="00B160A2"/>
    <w:rsid w:val="00B17190"/>
    <w:rsid w:val="00B205DF"/>
    <w:rsid w:val="00B249B7"/>
    <w:rsid w:val="00B26160"/>
    <w:rsid w:val="00B262B3"/>
    <w:rsid w:val="00B33748"/>
    <w:rsid w:val="00B34537"/>
    <w:rsid w:val="00B4057F"/>
    <w:rsid w:val="00B42281"/>
    <w:rsid w:val="00B45873"/>
    <w:rsid w:val="00B51789"/>
    <w:rsid w:val="00B63F5E"/>
    <w:rsid w:val="00B648EF"/>
    <w:rsid w:val="00B663D1"/>
    <w:rsid w:val="00B7351B"/>
    <w:rsid w:val="00B741AE"/>
    <w:rsid w:val="00B76669"/>
    <w:rsid w:val="00B84132"/>
    <w:rsid w:val="00B865FA"/>
    <w:rsid w:val="00BA1013"/>
    <w:rsid w:val="00BA2150"/>
    <w:rsid w:val="00BB0D2E"/>
    <w:rsid w:val="00BB5B5D"/>
    <w:rsid w:val="00BB5FBF"/>
    <w:rsid w:val="00BB7987"/>
    <w:rsid w:val="00BB7BB2"/>
    <w:rsid w:val="00BC0C9E"/>
    <w:rsid w:val="00BC435F"/>
    <w:rsid w:val="00BD0675"/>
    <w:rsid w:val="00BD6CE4"/>
    <w:rsid w:val="00BE3676"/>
    <w:rsid w:val="00BE6FBD"/>
    <w:rsid w:val="00BF4CEC"/>
    <w:rsid w:val="00BF5457"/>
    <w:rsid w:val="00BF75D5"/>
    <w:rsid w:val="00C0108A"/>
    <w:rsid w:val="00C04D0F"/>
    <w:rsid w:val="00C06698"/>
    <w:rsid w:val="00C06BB2"/>
    <w:rsid w:val="00C1122D"/>
    <w:rsid w:val="00C125D4"/>
    <w:rsid w:val="00C13841"/>
    <w:rsid w:val="00C14387"/>
    <w:rsid w:val="00C236D9"/>
    <w:rsid w:val="00C279EB"/>
    <w:rsid w:val="00C27E61"/>
    <w:rsid w:val="00C3688F"/>
    <w:rsid w:val="00C43306"/>
    <w:rsid w:val="00C443BC"/>
    <w:rsid w:val="00C44E56"/>
    <w:rsid w:val="00C44FB0"/>
    <w:rsid w:val="00C452ED"/>
    <w:rsid w:val="00C46BA5"/>
    <w:rsid w:val="00C5023B"/>
    <w:rsid w:val="00C5302A"/>
    <w:rsid w:val="00C56EDE"/>
    <w:rsid w:val="00C63705"/>
    <w:rsid w:val="00C647FF"/>
    <w:rsid w:val="00C649F4"/>
    <w:rsid w:val="00C71C96"/>
    <w:rsid w:val="00C73B10"/>
    <w:rsid w:val="00C7542A"/>
    <w:rsid w:val="00C82399"/>
    <w:rsid w:val="00C83A4F"/>
    <w:rsid w:val="00C84339"/>
    <w:rsid w:val="00C852CA"/>
    <w:rsid w:val="00C904DE"/>
    <w:rsid w:val="00C934B5"/>
    <w:rsid w:val="00CA0163"/>
    <w:rsid w:val="00CA5E26"/>
    <w:rsid w:val="00CA7897"/>
    <w:rsid w:val="00CB0ACE"/>
    <w:rsid w:val="00CB723A"/>
    <w:rsid w:val="00CB7BB8"/>
    <w:rsid w:val="00CC1283"/>
    <w:rsid w:val="00CC57CC"/>
    <w:rsid w:val="00CC64EB"/>
    <w:rsid w:val="00CE3AE5"/>
    <w:rsid w:val="00CE51AE"/>
    <w:rsid w:val="00CE5CFE"/>
    <w:rsid w:val="00D0209A"/>
    <w:rsid w:val="00D02A24"/>
    <w:rsid w:val="00D0414E"/>
    <w:rsid w:val="00D04743"/>
    <w:rsid w:val="00D07D3D"/>
    <w:rsid w:val="00D27DBF"/>
    <w:rsid w:val="00D32A08"/>
    <w:rsid w:val="00D36C67"/>
    <w:rsid w:val="00D430D1"/>
    <w:rsid w:val="00D47F35"/>
    <w:rsid w:val="00D57E47"/>
    <w:rsid w:val="00D60F49"/>
    <w:rsid w:val="00D62D34"/>
    <w:rsid w:val="00D65BC4"/>
    <w:rsid w:val="00D707F2"/>
    <w:rsid w:val="00D74367"/>
    <w:rsid w:val="00D743A1"/>
    <w:rsid w:val="00D74B46"/>
    <w:rsid w:val="00D808E6"/>
    <w:rsid w:val="00D81471"/>
    <w:rsid w:val="00D8364A"/>
    <w:rsid w:val="00D8578D"/>
    <w:rsid w:val="00D85F9E"/>
    <w:rsid w:val="00D875FF"/>
    <w:rsid w:val="00D8779A"/>
    <w:rsid w:val="00D9036F"/>
    <w:rsid w:val="00D90F9C"/>
    <w:rsid w:val="00D9191F"/>
    <w:rsid w:val="00D92231"/>
    <w:rsid w:val="00D92EAD"/>
    <w:rsid w:val="00D96AAB"/>
    <w:rsid w:val="00DA3B4D"/>
    <w:rsid w:val="00DA4B8A"/>
    <w:rsid w:val="00DB4C27"/>
    <w:rsid w:val="00DB7920"/>
    <w:rsid w:val="00DB7F1C"/>
    <w:rsid w:val="00DC21B2"/>
    <w:rsid w:val="00DC559A"/>
    <w:rsid w:val="00DC587C"/>
    <w:rsid w:val="00DC5EF7"/>
    <w:rsid w:val="00DC7AF0"/>
    <w:rsid w:val="00DC7F8C"/>
    <w:rsid w:val="00DC7F9B"/>
    <w:rsid w:val="00DD2193"/>
    <w:rsid w:val="00DD3416"/>
    <w:rsid w:val="00DD6038"/>
    <w:rsid w:val="00DE5482"/>
    <w:rsid w:val="00DF0072"/>
    <w:rsid w:val="00DF16EB"/>
    <w:rsid w:val="00DF3B10"/>
    <w:rsid w:val="00DF4B7F"/>
    <w:rsid w:val="00E00D0D"/>
    <w:rsid w:val="00E020D1"/>
    <w:rsid w:val="00E02DF6"/>
    <w:rsid w:val="00E0438E"/>
    <w:rsid w:val="00E06B97"/>
    <w:rsid w:val="00E10A2A"/>
    <w:rsid w:val="00E11069"/>
    <w:rsid w:val="00E112A8"/>
    <w:rsid w:val="00E157DD"/>
    <w:rsid w:val="00E21563"/>
    <w:rsid w:val="00E2478F"/>
    <w:rsid w:val="00E31A96"/>
    <w:rsid w:val="00E33FDB"/>
    <w:rsid w:val="00E40710"/>
    <w:rsid w:val="00E418C7"/>
    <w:rsid w:val="00E51FF6"/>
    <w:rsid w:val="00E533AA"/>
    <w:rsid w:val="00E5511F"/>
    <w:rsid w:val="00E57B24"/>
    <w:rsid w:val="00E621E7"/>
    <w:rsid w:val="00E65517"/>
    <w:rsid w:val="00E661E6"/>
    <w:rsid w:val="00E7419C"/>
    <w:rsid w:val="00E74776"/>
    <w:rsid w:val="00E74A1C"/>
    <w:rsid w:val="00E81086"/>
    <w:rsid w:val="00E81C84"/>
    <w:rsid w:val="00E82289"/>
    <w:rsid w:val="00E825D8"/>
    <w:rsid w:val="00E838F9"/>
    <w:rsid w:val="00E847A5"/>
    <w:rsid w:val="00E92B2B"/>
    <w:rsid w:val="00EA108D"/>
    <w:rsid w:val="00EA4456"/>
    <w:rsid w:val="00EA4474"/>
    <w:rsid w:val="00EB330A"/>
    <w:rsid w:val="00EB4145"/>
    <w:rsid w:val="00EC10FC"/>
    <w:rsid w:val="00EC172A"/>
    <w:rsid w:val="00EC4506"/>
    <w:rsid w:val="00EC551E"/>
    <w:rsid w:val="00ED1016"/>
    <w:rsid w:val="00ED3DA2"/>
    <w:rsid w:val="00ED4925"/>
    <w:rsid w:val="00ED4C90"/>
    <w:rsid w:val="00ED72F2"/>
    <w:rsid w:val="00EE03C0"/>
    <w:rsid w:val="00EF3522"/>
    <w:rsid w:val="00F01587"/>
    <w:rsid w:val="00F0224E"/>
    <w:rsid w:val="00F041D6"/>
    <w:rsid w:val="00F05ABA"/>
    <w:rsid w:val="00F05C6A"/>
    <w:rsid w:val="00F10153"/>
    <w:rsid w:val="00F14087"/>
    <w:rsid w:val="00F172F7"/>
    <w:rsid w:val="00F22A35"/>
    <w:rsid w:val="00F24D14"/>
    <w:rsid w:val="00F24FAC"/>
    <w:rsid w:val="00F25CCE"/>
    <w:rsid w:val="00F25FDD"/>
    <w:rsid w:val="00F26781"/>
    <w:rsid w:val="00F26D6F"/>
    <w:rsid w:val="00F27B0E"/>
    <w:rsid w:val="00F45F7D"/>
    <w:rsid w:val="00F46C1A"/>
    <w:rsid w:val="00F51608"/>
    <w:rsid w:val="00F52CD3"/>
    <w:rsid w:val="00F5446A"/>
    <w:rsid w:val="00F575CB"/>
    <w:rsid w:val="00F57A9C"/>
    <w:rsid w:val="00F621F2"/>
    <w:rsid w:val="00F62938"/>
    <w:rsid w:val="00F63177"/>
    <w:rsid w:val="00F67106"/>
    <w:rsid w:val="00F71841"/>
    <w:rsid w:val="00F77198"/>
    <w:rsid w:val="00F771ED"/>
    <w:rsid w:val="00F813FE"/>
    <w:rsid w:val="00F81670"/>
    <w:rsid w:val="00F82558"/>
    <w:rsid w:val="00F962EF"/>
    <w:rsid w:val="00FA0E40"/>
    <w:rsid w:val="00FA100E"/>
    <w:rsid w:val="00FA4BA5"/>
    <w:rsid w:val="00FA6412"/>
    <w:rsid w:val="00FA65D3"/>
    <w:rsid w:val="00FB204B"/>
    <w:rsid w:val="00FB3693"/>
    <w:rsid w:val="00FB3813"/>
    <w:rsid w:val="00FB40F3"/>
    <w:rsid w:val="00FE21A5"/>
    <w:rsid w:val="00FE3593"/>
    <w:rsid w:val="00FE5BB6"/>
    <w:rsid w:val="00FF2C37"/>
    <w:rsid w:val="00FF3CEC"/>
    <w:rsid w:val="00FF5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38D3B"/>
  <w15:docId w15:val="{72948728-7C55-48B4-8FF5-CE40A6DD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52DA"/>
    <w:pPr>
      <w:spacing w:line="256" w:lineRule="auto"/>
    </w:pPr>
  </w:style>
  <w:style w:type="paragraph" w:styleId="Nagwek1">
    <w:name w:val="heading 1"/>
    <w:basedOn w:val="Normalny"/>
    <w:next w:val="Normalny"/>
    <w:link w:val="Nagwek1Znak"/>
    <w:uiPriority w:val="9"/>
    <w:qFormat/>
    <w:rsid w:val="00D92EAD"/>
    <w:pPr>
      <w:keepNext/>
      <w:suppressAutoHyphens/>
      <w:spacing w:before="360" w:after="120" w:line="300" w:lineRule="atLeast"/>
      <w:jc w:val="both"/>
      <w:outlineLvl w:val="0"/>
    </w:pPr>
    <w:rPr>
      <w:rFonts w:ascii="Arial" w:eastAsiaTheme="majorEastAsia" w:hAnsi="Arial" w:cstheme="majorBidi"/>
      <w:b/>
      <w:szCs w:val="32"/>
      <w:lang w:eastAsia="pl-PL"/>
    </w:rPr>
  </w:style>
  <w:style w:type="paragraph" w:styleId="Nagwek2">
    <w:name w:val="heading 2"/>
    <w:basedOn w:val="Normalny"/>
    <w:next w:val="Normalny"/>
    <w:link w:val="Nagwek2Znak"/>
    <w:uiPriority w:val="9"/>
    <w:unhideWhenUsed/>
    <w:qFormat/>
    <w:rsid w:val="00D92EAD"/>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5">
    <w:name w:val="heading 5"/>
    <w:basedOn w:val="Normalny"/>
    <w:next w:val="Normalny"/>
    <w:link w:val="Nagwek5Znak"/>
    <w:uiPriority w:val="9"/>
    <w:semiHidden/>
    <w:unhideWhenUsed/>
    <w:qFormat/>
    <w:rsid w:val="00BA215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F00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0072"/>
  </w:style>
  <w:style w:type="paragraph" w:styleId="Stopka">
    <w:name w:val="footer"/>
    <w:basedOn w:val="Normalny"/>
    <w:link w:val="StopkaZnak"/>
    <w:uiPriority w:val="99"/>
    <w:unhideWhenUsed/>
    <w:rsid w:val="00DF00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0072"/>
  </w:style>
  <w:style w:type="paragraph" w:styleId="Tekstdymka">
    <w:name w:val="Balloon Text"/>
    <w:basedOn w:val="Normalny"/>
    <w:link w:val="TekstdymkaZnak"/>
    <w:uiPriority w:val="99"/>
    <w:semiHidden/>
    <w:unhideWhenUsed/>
    <w:rsid w:val="00DF00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0072"/>
    <w:rPr>
      <w:rFonts w:ascii="Segoe UI" w:hAnsi="Segoe UI" w:cs="Segoe UI"/>
      <w:sz w:val="18"/>
      <w:szCs w:val="18"/>
    </w:rPr>
  </w:style>
  <w:style w:type="character" w:styleId="Hipercze">
    <w:name w:val="Hyperlink"/>
    <w:basedOn w:val="Domylnaczcionkaakapitu"/>
    <w:uiPriority w:val="99"/>
    <w:unhideWhenUsed/>
    <w:rsid w:val="003052DA"/>
    <w:rPr>
      <w:color w:val="0563C1" w:themeColor="hyperlink"/>
      <w:u w:val="single"/>
    </w:rPr>
  </w:style>
  <w:style w:type="paragraph" w:styleId="Zwykytekst">
    <w:name w:val="Plain Text"/>
    <w:basedOn w:val="Normalny"/>
    <w:link w:val="ZwykytekstZnak"/>
    <w:uiPriority w:val="99"/>
    <w:semiHidden/>
    <w:unhideWhenUsed/>
    <w:rsid w:val="00D92231"/>
    <w:pPr>
      <w:spacing w:after="0" w:line="240" w:lineRule="auto"/>
    </w:pPr>
    <w:rPr>
      <w:rFonts w:ascii="Calibri" w:eastAsia="Times New Roman" w:hAnsi="Calibri" w:cs="Consolas"/>
      <w:szCs w:val="21"/>
      <w:lang w:eastAsia="pl-PL"/>
    </w:rPr>
  </w:style>
  <w:style w:type="character" w:customStyle="1" w:styleId="ZwykytekstZnak">
    <w:name w:val="Zwykły tekst Znak"/>
    <w:basedOn w:val="Domylnaczcionkaakapitu"/>
    <w:link w:val="Zwykytekst"/>
    <w:uiPriority w:val="99"/>
    <w:semiHidden/>
    <w:rsid w:val="00D92231"/>
    <w:rPr>
      <w:rFonts w:ascii="Calibri" w:eastAsia="Times New Roman" w:hAnsi="Calibri" w:cs="Consolas"/>
      <w:szCs w:val="21"/>
      <w:lang w:eastAsia="pl-PL"/>
    </w:rPr>
  </w:style>
  <w:style w:type="paragraph" w:styleId="NormalnyWeb">
    <w:name w:val="Normal (Web)"/>
    <w:basedOn w:val="Normalny"/>
    <w:uiPriority w:val="99"/>
    <w:unhideWhenUsed/>
    <w:rsid w:val="005538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92EAD"/>
    <w:rPr>
      <w:rFonts w:ascii="Arial" w:eastAsiaTheme="majorEastAsia" w:hAnsi="Arial" w:cstheme="majorBidi"/>
      <w:b/>
      <w:szCs w:val="32"/>
      <w:lang w:eastAsia="pl-PL"/>
    </w:rPr>
  </w:style>
  <w:style w:type="character" w:customStyle="1" w:styleId="Nagwek2Znak">
    <w:name w:val="Nagłówek 2 Znak"/>
    <w:basedOn w:val="Domylnaczcionkaakapitu"/>
    <w:link w:val="Nagwek2"/>
    <w:uiPriority w:val="9"/>
    <w:rsid w:val="00D92EAD"/>
    <w:rPr>
      <w:rFonts w:asciiTheme="majorHAnsi" w:eastAsiaTheme="majorEastAsia" w:hAnsiTheme="majorHAnsi" w:cstheme="majorBidi"/>
      <w:color w:val="2E74B5" w:themeColor="accent1" w:themeShade="BF"/>
      <w:sz w:val="26"/>
      <w:szCs w:val="26"/>
      <w:lang w:eastAsia="pl-PL"/>
    </w:rPr>
  </w:style>
  <w:style w:type="paragraph" w:styleId="Akapitzlist">
    <w:name w:val="List Paragraph"/>
    <w:basedOn w:val="Normalny"/>
    <w:link w:val="AkapitzlistZnak"/>
    <w:uiPriority w:val="34"/>
    <w:qFormat/>
    <w:rsid w:val="00D92EAD"/>
    <w:pPr>
      <w:spacing w:after="200" w:line="276" w:lineRule="auto"/>
      <w:ind w:left="720"/>
      <w:contextualSpacing/>
    </w:pPr>
    <w:rPr>
      <w:rFonts w:eastAsiaTheme="minorEastAsia"/>
      <w:lang w:eastAsia="pl-PL"/>
    </w:rPr>
  </w:style>
  <w:style w:type="character" w:styleId="Odwoaniedokomentarza">
    <w:name w:val="annotation reference"/>
    <w:basedOn w:val="Domylnaczcionkaakapitu"/>
    <w:uiPriority w:val="99"/>
    <w:semiHidden/>
    <w:unhideWhenUsed/>
    <w:rsid w:val="00D92EAD"/>
    <w:rPr>
      <w:sz w:val="16"/>
      <w:szCs w:val="16"/>
    </w:rPr>
  </w:style>
  <w:style w:type="paragraph" w:styleId="Tekstkomentarza">
    <w:name w:val="annotation text"/>
    <w:basedOn w:val="Normalny"/>
    <w:link w:val="TekstkomentarzaZnak"/>
    <w:uiPriority w:val="99"/>
    <w:unhideWhenUsed/>
    <w:rsid w:val="00D92EAD"/>
    <w:pPr>
      <w:spacing w:after="200"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rsid w:val="00D92EAD"/>
    <w:rPr>
      <w:rFonts w:eastAsiaTheme="minorEastAsia"/>
      <w:sz w:val="20"/>
      <w:szCs w:val="20"/>
      <w:lang w:eastAsia="pl-PL"/>
    </w:rPr>
  </w:style>
  <w:style w:type="paragraph" w:styleId="Tekstprzypisudolnego">
    <w:name w:val="footnote text"/>
    <w:basedOn w:val="Normalny"/>
    <w:link w:val="TekstprzypisudolnegoZnak"/>
    <w:uiPriority w:val="99"/>
    <w:semiHidden/>
    <w:unhideWhenUsed/>
    <w:rsid w:val="00D92EAD"/>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semiHidden/>
    <w:rsid w:val="00D92EAD"/>
    <w:rPr>
      <w:rFonts w:eastAsiaTheme="minorEastAsia"/>
      <w:sz w:val="20"/>
      <w:szCs w:val="20"/>
      <w:lang w:eastAsia="pl-PL"/>
    </w:rPr>
  </w:style>
  <w:style w:type="character" w:styleId="Odwoanieprzypisudolnego">
    <w:name w:val="footnote reference"/>
    <w:basedOn w:val="Domylnaczcionkaakapitu"/>
    <w:uiPriority w:val="99"/>
    <w:semiHidden/>
    <w:unhideWhenUsed/>
    <w:rsid w:val="00D92EAD"/>
    <w:rPr>
      <w:vertAlign w:val="superscript"/>
    </w:rPr>
  </w:style>
  <w:style w:type="paragraph" w:styleId="Tematkomentarza">
    <w:name w:val="annotation subject"/>
    <w:basedOn w:val="Tekstkomentarza"/>
    <w:next w:val="Tekstkomentarza"/>
    <w:link w:val="TematkomentarzaZnak"/>
    <w:uiPriority w:val="99"/>
    <w:semiHidden/>
    <w:unhideWhenUsed/>
    <w:rsid w:val="00F82558"/>
    <w:pPr>
      <w:spacing w:after="160"/>
    </w:pPr>
    <w:rPr>
      <w:rFonts w:eastAsiaTheme="minorHAnsi"/>
      <w:b/>
      <w:bCs/>
      <w:lang w:eastAsia="en-US"/>
    </w:rPr>
  </w:style>
  <w:style w:type="character" w:customStyle="1" w:styleId="TematkomentarzaZnak">
    <w:name w:val="Temat komentarza Znak"/>
    <w:basedOn w:val="TekstkomentarzaZnak"/>
    <w:link w:val="Tematkomentarza"/>
    <w:uiPriority w:val="99"/>
    <w:semiHidden/>
    <w:rsid w:val="00F82558"/>
    <w:rPr>
      <w:rFonts w:eastAsiaTheme="minorEastAsia"/>
      <w:b/>
      <w:bCs/>
      <w:sz w:val="20"/>
      <w:szCs w:val="20"/>
      <w:lang w:eastAsia="pl-PL"/>
    </w:rPr>
  </w:style>
  <w:style w:type="character" w:customStyle="1" w:styleId="Nagwek5Znak">
    <w:name w:val="Nagłówek 5 Znak"/>
    <w:basedOn w:val="Domylnaczcionkaakapitu"/>
    <w:link w:val="Nagwek5"/>
    <w:uiPriority w:val="9"/>
    <w:semiHidden/>
    <w:rsid w:val="00BA2150"/>
    <w:rPr>
      <w:rFonts w:asciiTheme="majorHAnsi" w:eastAsiaTheme="majorEastAsia" w:hAnsiTheme="majorHAnsi" w:cstheme="majorBidi"/>
      <w:color w:val="2E74B5" w:themeColor="accent1" w:themeShade="BF"/>
    </w:rPr>
  </w:style>
  <w:style w:type="character" w:styleId="Uwydatnienie">
    <w:name w:val="Emphasis"/>
    <w:basedOn w:val="Domylnaczcionkaakapitu"/>
    <w:uiPriority w:val="20"/>
    <w:qFormat/>
    <w:rsid w:val="0095182A"/>
    <w:rPr>
      <w:i/>
      <w:iCs/>
    </w:rPr>
  </w:style>
  <w:style w:type="paragraph" w:styleId="Poprawka">
    <w:name w:val="Revision"/>
    <w:hidden/>
    <w:uiPriority w:val="99"/>
    <w:semiHidden/>
    <w:rsid w:val="00E57B24"/>
    <w:pPr>
      <w:spacing w:after="0" w:line="240" w:lineRule="auto"/>
    </w:pPr>
  </w:style>
  <w:style w:type="character" w:customStyle="1" w:styleId="AkapitzlistZnak">
    <w:name w:val="Akapit z listą Znak"/>
    <w:basedOn w:val="Domylnaczcionkaakapitu"/>
    <w:link w:val="Akapitzlist"/>
    <w:uiPriority w:val="34"/>
    <w:locked/>
    <w:rsid w:val="005E3E68"/>
    <w:rPr>
      <w:rFonts w:eastAsiaTheme="minorEastAsia"/>
      <w:lang w:eastAsia="pl-PL"/>
    </w:rPr>
  </w:style>
  <w:style w:type="table" w:styleId="Tabela-Siatka">
    <w:name w:val="Table Grid"/>
    <w:basedOn w:val="Standardowy"/>
    <w:uiPriority w:val="39"/>
    <w:rsid w:val="005E3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17C7"/>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5817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7C7"/>
    <w:rPr>
      <w:sz w:val="20"/>
      <w:szCs w:val="20"/>
    </w:rPr>
  </w:style>
  <w:style w:type="character" w:styleId="Odwoanieprzypisukocowego">
    <w:name w:val="endnote reference"/>
    <w:basedOn w:val="Domylnaczcionkaakapitu"/>
    <w:uiPriority w:val="99"/>
    <w:semiHidden/>
    <w:unhideWhenUsed/>
    <w:rsid w:val="005817C7"/>
    <w:rPr>
      <w:vertAlign w:val="superscript"/>
    </w:rPr>
  </w:style>
  <w:style w:type="paragraph" w:customStyle="1" w:styleId="xmsonormal">
    <w:name w:val="x_msonormal"/>
    <w:basedOn w:val="Normalny"/>
    <w:rsid w:val="00C904DE"/>
    <w:pPr>
      <w:spacing w:after="0" w:line="240" w:lineRule="auto"/>
    </w:pPr>
    <w:rPr>
      <w:rFonts w:ascii="Calibri" w:hAnsi="Calibri" w:cs="Calibri"/>
      <w:lang w:eastAsia="pl-PL"/>
    </w:rPr>
  </w:style>
  <w:style w:type="paragraph" w:customStyle="1" w:styleId="xmsolistparagraph">
    <w:name w:val="x_msolistparagraph"/>
    <w:basedOn w:val="Normalny"/>
    <w:rsid w:val="00C904DE"/>
    <w:pPr>
      <w:spacing w:after="0" w:line="240" w:lineRule="auto"/>
      <w:ind w:left="720"/>
    </w:pPr>
    <w:rPr>
      <w:rFonts w:ascii="Calibri" w:hAnsi="Calibri" w:cs="Calibri"/>
      <w:lang w:eastAsia="pl-PL"/>
    </w:rPr>
  </w:style>
  <w:style w:type="character" w:customStyle="1" w:styleId="cf01">
    <w:name w:val="cf01"/>
    <w:basedOn w:val="Domylnaczcionkaakapitu"/>
    <w:rsid w:val="003D3A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3228">
      <w:bodyDiv w:val="1"/>
      <w:marLeft w:val="0"/>
      <w:marRight w:val="0"/>
      <w:marTop w:val="0"/>
      <w:marBottom w:val="0"/>
      <w:divBdr>
        <w:top w:val="none" w:sz="0" w:space="0" w:color="auto"/>
        <w:left w:val="none" w:sz="0" w:space="0" w:color="auto"/>
        <w:bottom w:val="none" w:sz="0" w:space="0" w:color="auto"/>
        <w:right w:val="none" w:sz="0" w:space="0" w:color="auto"/>
      </w:divBdr>
    </w:div>
    <w:div w:id="25833147">
      <w:bodyDiv w:val="1"/>
      <w:marLeft w:val="0"/>
      <w:marRight w:val="0"/>
      <w:marTop w:val="0"/>
      <w:marBottom w:val="0"/>
      <w:divBdr>
        <w:top w:val="none" w:sz="0" w:space="0" w:color="auto"/>
        <w:left w:val="none" w:sz="0" w:space="0" w:color="auto"/>
        <w:bottom w:val="none" w:sz="0" w:space="0" w:color="auto"/>
        <w:right w:val="none" w:sz="0" w:space="0" w:color="auto"/>
      </w:divBdr>
    </w:div>
    <w:div w:id="88551094">
      <w:bodyDiv w:val="1"/>
      <w:marLeft w:val="0"/>
      <w:marRight w:val="0"/>
      <w:marTop w:val="0"/>
      <w:marBottom w:val="0"/>
      <w:divBdr>
        <w:top w:val="none" w:sz="0" w:space="0" w:color="auto"/>
        <w:left w:val="none" w:sz="0" w:space="0" w:color="auto"/>
        <w:bottom w:val="none" w:sz="0" w:space="0" w:color="auto"/>
        <w:right w:val="none" w:sz="0" w:space="0" w:color="auto"/>
      </w:divBdr>
    </w:div>
    <w:div w:id="107894260">
      <w:bodyDiv w:val="1"/>
      <w:marLeft w:val="0"/>
      <w:marRight w:val="0"/>
      <w:marTop w:val="0"/>
      <w:marBottom w:val="0"/>
      <w:divBdr>
        <w:top w:val="none" w:sz="0" w:space="0" w:color="auto"/>
        <w:left w:val="none" w:sz="0" w:space="0" w:color="auto"/>
        <w:bottom w:val="none" w:sz="0" w:space="0" w:color="auto"/>
        <w:right w:val="none" w:sz="0" w:space="0" w:color="auto"/>
      </w:divBdr>
      <w:divsChild>
        <w:div w:id="1379161084">
          <w:marLeft w:val="0"/>
          <w:marRight w:val="0"/>
          <w:marTop w:val="0"/>
          <w:marBottom w:val="0"/>
          <w:divBdr>
            <w:top w:val="none" w:sz="0" w:space="0" w:color="auto"/>
            <w:left w:val="none" w:sz="0" w:space="0" w:color="auto"/>
            <w:bottom w:val="none" w:sz="0" w:space="0" w:color="auto"/>
            <w:right w:val="none" w:sz="0" w:space="0" w:color="auto"/>
          </w:divBdr>
        </w:div>
      </w:divsChild>
    </w:div>
    <w:div w:id="128792747">
      <w:bodyDiv w:val="1"/>
      <w:marLeft w:val="0"/>
      <w:marRight w:val="0"/>
      <w:marTop w:val="0"/>
      <w:marBottom w:val="0"/>
      <w:divBdr>
        <w:top w:val="none" w:sz="0" w:space="0" w:color="auto"/>
        <w:left w:val="none" w:sz="0" w:space="0" w:color="auto"/>
        <w:bottom w:val="none" w:sz="0" w:space="0" w:color="auto"/>
        <w:right w:val="none" w:sz="0" w:space="0" w:color="auto"/>
      </w:divBdr>
    </w:div>
    <w:div w:id="144392505">
      <w:bodyDiv w:val="1"/>
      <w:marLeft w:val="0"/>
      <w:marRight w:val="0"/>
      <w:marTop w:val="0"/>
      <w:marBottom w:val="0"/>
      <w:divBdr>
        <w:top w:val="none" w:sz="0" w:space="0" w:color="auto"/>
        <w:left w:val="none" w:sz="0" w:space="0" w:color="auto"/>
        <w:bottom w:val="none" w:sz="0" w:space="0" w:color="auto"/>
        <w:right w:val="none" w:sz="0" w:space="0" w:color="auto"/>
      </w:divBdr>
      <w:divsChild>
        <w:div w:id="1417239198">
          <w:marLeft w:val="0"/>
          <w:marRight w:val="0"/>
          <w:marTop w:val="0"/>
          <w:marBottom w:val="0"/>
          <w:divBdr>
            <w:top w:val="none" w:sz="0" w:space="0" w:color="auto"/>
            <w:left w:val="none" w:sz="0" w:space="0" w:color="auto"/>
            <w:bottom w:val="none" w:sz="0" w:space="0" w:color="auto"/>
            <w:right w:val="none" w:sz="0" w:space="0" w:color="auto"/>
          </w:divBdr>
        </w:div>
      </w:divsChild>
    </w:div>
    <w:div w:id="288052498">
      <w:bodyDiv w:val="1"/>
      <w:marLeft w:val="0"/>
      <w:marRight w:val="0"/>
      <w:marTop w:val="0"/>
      <w:marBottom w:val="0"/>
      <w:divBdr>
        <w:top w:val="none" w:sz="0" w:space="0" w:color="auto"/>
        <w:left w:val="none" w:sz="0" w:space="0" w:color="auto"/>
        <w:bottom w:val="none" w:sz="0" w:space="0" w:color="auto"/>
        <w:right w:val="none" w:sz="0" w:space="0" w:color="auto"/>
      </w:divBdr>
    </w:div>
    <w:div w:id="362678302">
      <w:bodyDiv w:val="1"/>
      <w:marLeft w:val="0"/>
      <w:marRight w:val="0"/>
      <w:marTop w:val="0"/>
      <w:marBottom w:val="0"/>
      <w:divBdr>
        <w:top w:val="none" w:sz="0" w:space="0" w:color="auto"/>
        <w:left w:val="none" w:sz="0" w:space="0" w:color="auto"/>
        <w:bottom w:val="none" w:sz="0" w:space="0" w:color="auto"/>
        <w:right w:val="none" w:sz="0" w:space="0" w:color="auto"/>
      </w:divBdr>
      <w:divsChild>
        <w:div w:id="745341367">
          <w:marLeft w:val="0"/>
          <w:marRight w:val="0"/>
          <w:marTop w:val="0"/>
          <w:marBottom w:val="0"/>
          <w:divBdr>
            <w:top w:val="none" w:sz="0" w:space="0" w:color="auto"/>
            <w:left w:val="none" w:sz="0" w:space="0" w:color="auto"/>
            <w:bottom w:val="none" w:sz="0" w:space="0" w:color="auto"/>
            <w:right w:val="none" w:sz="0" w:space="0" w:color="auto"/>
          </w:divBdr>
        </w:div>
        <w:div w:id="1139498905">
          <w:marLeft w:val="0"/>
          <w:marRight w:val="0"/>
          <w:marTop w:val="0"/>
          <w:marBottom w:val="0"/>
          <w:divBdr>
            <w:top w:val="none" w:sz="0" w:space="0" w:color="auto"/>
            <w:left w:val="none" w:sz="0" w:space="0" w:color="auto"/>
            <w:bottom w:val="none" w:sz="0" w:space="0" w:color="auto"/>
            <w:right w:val="none" w:sz="0" w:space="0" w:color="auto"/>
          </w:divBdr>
        </w:div>
      </w:divsChild>
    </w:div>
    <w:div w:id="510487881">
      <w:bodyDiv w:val="1"/>
      <w:marLeft w:val="0"/>
      <w:marRight w:val="0"/>
      <w:marTop w:val="0"/>
      <w:marBottom w:val="0"/>
      <w:divBdr>
        <w:top w:val="none" w:sz="0" w:space="0" w:color="auto"/>
        <w:left w:val="none" w:sz="0" w:space="0" w:color="auto"/>
        <w:bottom w:val="none" w:sz="0" w:space="0" w:color="auto"/>
        <w:right w:val="none" w:sz="0" w:space="0" w:color="auto"/>
      </w:divBdr>
    </w:div>
    <w:div w:id="532810459">
      <w:bodyDiv w:val="1"/>
      <w:marLeft w:val="0"/>
      <w:marRight w:val="0"/>
      <w:marTop w:val="0"/>
      <w:marBottom w:val="0"/>
      <w:divBdr>
        <w:top w:val="none" w:sz="0" w:space="0" w:color="auto"/>
        <w:left w:val="none" w:sz="0" w:space="0" w:color="auto"/>
        <w:bottom w:val="none" w:sz="0" w:space="0" w:color="auto"/>
        <w:right w:val="none" w:sz="0" w:space="0" w:color="auto"/>
      </w:divBdr>
    </w:div>
    <w:div w:id="561450805">
      <w:bodyDiv w:val="1"/>
      <w:marLeft w:val="0"/>
      <w:marRight w:val="0"/>
      <w:marTop w:val="0"/>
      <w:marBottom w:val="0"/>
      <w:divBdr>
        <w:top w:val="none" w:sz="0" w:space="0" w:color="auto"/>
        <w:left w:val="none" w:sz="0" w:space="0" w:color="auto"/>
        <w:bottom w:val="none" w:sz="0" w:space="0" w:color="auto"/>
        <w:right w:val="none" w:sz="0" w:space="0" w:color="auto"/>
      </w:divBdr>
    </w:div>
    <w:div w:id="578179185">
      <w:bodyDiv w:val="1"/>
      <w:marLeft w:val="0"/>
      <w:marRight w:val="0"/>
      <w:marTop w:val="0"/>
      <w:marBottom w:val="0"/>
      <w:divBdr>
        <w:top w:val="none" w:sz="0" w:space="0" w:color="auto"/>
        <w:left w:val="none" w:sz="0" w:space="0" w:color="auto"/>
        <w:bottom w:val="none" w:sz="0" w:space="0" w:color="auto"/>
        <w:right w:val="none" w:sz="0" w:space="0" w:color="auto"/>
      </w:divBdr>
    </w:div>
    <w:div w:id="638074033">
      <w:bodyDiv w:val="1"/>
      <w:marLeft w:val="0"/>
      <w:marRight w:val="0"/>
      <w:marTop w:val="0"/>
      <w:marBottom w:val="0"/>
      <w:divBdr>
        <w:top w:val="none" w:sz="0" w:space="0" w:color="auto"/>
        <w:left w:val="none" w:sz="0" w:space="0" w:color="auto"/>
        <w:bottom w:val="none" w:sz="0" w:space="0" w:color="auto"/>
        <w:right w:val="none" w:sz="0" w:space="0" w:color="auto"/>
      </w:divBdr>
    </w:div>
    <w:div w:id="678895899">
      <w:bodyDiv w:val="1"/>
      <w:marLeft w:val="0"/>
      <w:marRight w:val="0"/>
      <w:marTop w:val="0"/>
      <w:marBottom w:val="0"/>
      <w:divBdr>
        <w:top w:val="none" w:sz="0" w:space="0" w:color="auto"/>
        <w:left w:val="none" w:sz="0" w:space="0" w:color="auto"/>
        <w:bottom w:val="none" w:sz="0" w:space="0" w:color="auto"/>
        <w:right w:val="none" w:sz="0" w:space="0" w:color="auto"/>
      </w:divBdr>
    </w:div>
    <w:div w:id="716589164">
      <w:bodyDiv w:val="1"/>
      <w:marLeft w:val="0"/>
      <w:marRight w:val="0"/>
      <w:marTop w:val="0"/>
      <w:marBottom w:val="0"/>
      <w:divBdr>
        <w:top w:val="none" w:sz="0" w:space="0" w:color="auto"/>
        <w:left w:val="none" w:sz="0" w:space="0" w:color="auto"/>
        <w:bottom w:val="none" w:sz="0" w:space="0" w:color="auto"/>
        <w:right w:val="none" w:sz="0" w:space="0" w:color="auto"/>
      </w:divBdr>
    </w:div>
    <w:div w:id="867108097">
      <w:bodyDiv w:val="1"/>
      <w:marLeft w:val="0"/>
      <w:marRight w:val="0"/>
      <w:marTop w:val="0"/>
      <w:marBottom w:val="0"/>
      <w:divBdr>
        <w:top w:val="none" w:sz="0" w:space="0" w:color="auto"/>
        <w:left w:val="none" w:sz="0" w:space="0" w:color="auto"/>
        <w:bottom w:val="none" w:sz="0" w:space="0" w:color="auto"/>
        <w:right w:val="none" w:sz="0" w:space="0" w:color="auto"/>
      </w:divBdr>
    </w:div>
    <w:div w:id="931428892">
      <w:bodyDiv w:val="1"/>
      <w:marLeft w:val="0"/>
      <w:marRight w:val="0"/>
      <w:marTop w:val="0"/>
      <w:marBottom w:val="0"/>
      <w:divBdr>
        <w:top w:val="none" w:sz="0" w:space="0" w:color="auto"/>
        <w:left w:val="none" w:sz="0" w:space="0" w:color="auto"/>
        <w:bottom w:val="none" w:sz="0" w:space="0" w:color="auto"/>
        <w:right w:val="none" w:sz="0" w:space="0" w:color="auto"/>
      </w:divBdr>
    </w:div>
    <w:div w:id="1108348948">
      <w:bodyDiv w:val="1"/>
      <w:marLeft w:val="0"/>
      <w:marRight w:val="0"/>
      <w:marTop w:val="0"/>
      <w:marBottom w:val="0"/>
      <w:divBdr>
        <w:top w:val="none" w:sz="0" w:space="0" w:color="auto"/>
        <w:left w:val="none" w:sz="0" w:space="0" w:color="auto"/>
        <w:bottom w:val="none" w:sz="0" w:space="0" w:color="auto"/>
        <w:right w:val="none" w:sz="0" w:space="0" w:color="auto"/>
      </w:divBdr>
    </w:div>
    <w:div w:id="1181549983">
      <w:bodyDiv w:val="1"/>
      <w:marLeft w:val="0"/>
      <w:marRight w:val="0"/>
      <w:marTop w:val="0"/>
      <w:marBottom w:val="0"/>
      <w:divBdr>
        <w:top w:val="none" w:sz="0" w:space="0" w:color="auto"/>
        <w:left w:val="none" w:sz="0" w:space="0" w:color="auto"/>
        <w:bottom w:val="none" w:sz="0" w:space="0" w:color="auto"/>
        <w:right w:val="none" w:sz="0" w:space="0" w:color="auto"/>
      </w:divBdr>
    </w:div>
    <w:div w:id="1298147542">
      <w:bodyDiv w:val="1"/>
      <w:marLeft w:val="0"/>
      <w:marRight w:val="0"/>
      <w:marTop w:val="0"/>
      <w:marBottom w:val="0"/>
      <w:divBdr>
        <w:top w:val="none" w:sz="0" w:space="0" w:color="auto"/>
        <w:left w:val="none" w:sz="0" w:space="0" w:color="auto"/>
        <w:bottom w:val="none" w:sz="0" w:space="0" w:color="auto"/>
        <w:right w:val="none" w:sz="0" w:space="0" w:color="auto"/>
      </w:divBdr>
    </w:div>
    <w:div w:id="1368019220">
      <w:bodyDiv w:val="1"/>
      <w:marLeft w:val="0"/>
      <w:marRight w:val="0"/>
      <w:marTop w:val="0"/>
      <w:marBottom w:val="0"/>
      <w:divBdr>
        <w:top w:val="none" w:sz="0" w:space="0" w:color="auto"/>
        <w:left w:val="none" w:sz="0" w:space="0" w:color="auto"/>
        <w:bottom w:val="none" w:sz="0" w:space="0" w:color="auto"/>
        <w:right w:val="none" w:sz="0" w:space="0" w:color="auto"/>
      </w:divBdr>
    </w:div>
    <w:div w:id="1375931390">
      <w:bodyDiv w:val="1"/>
      <w:marLeft w:val="0"/>
      <w:marRight w:val="0"/>
      <w:marTop w:val="0"/>
      <w:marBottom w:val="0"/>
      <w:divBdr>
        <w:top w:val="none" w:sz="0" w:space="0" w:color="auto"/>
        <w:left w:val="none" w:sz="0" w:space="0" w:color="auto"/>
        <w:bottom w:val="none" w:sz="0" w:space="0" w:color="auto"/>
        <w:right w:val="none" w:sz="0" w:space="0" w:color="auto"/>
      </w:divBdr>
    </w:div>
    <w:div w:id="1514563075">
      <w:bodyDiv w:val="1"/>
      <w:marLeft w:val="0"/>
      <w:marRight w:val="0"/>
      <w:marTop w:val="0"/>
      <w:marBottom w:val="0"/>
      <w:divBdr>
        <w:top w:val="none" w:sz="0" w:space="0" w:color="auto"/>
        <w:left w:val="none" w:sz="0" w:space="0" w:color="auto"/>
        <w:bottom w:val="none" w:sz="0" w:space="0" w:color="auto"/>
        <w:right w:val="none" w:sz="0" w:space="0" w:color="auto"/>
      </w:divBdr>
    </w:div>
    <w:div w:id="1615596563">
      <w:bodyDiv w:val="1"/>
      <w:marLeft w:val="0"/>
      <w:marRight w:val="0"/>
      <w:marTop w:val="0"/>
      <w:marBottom w:val="0"/>
      <w:divBdr>
        <w:top w:val="none" w:sz="0" w:space="0" w:color="auto"/>
        <w:left w:val="none" w:sz="0" w:space="0" w:color="auto"/>
        <w:bottom w:val="none" w:sz="0" w:space="0" w:color="auto"/>
        <w:right w:val="none" w:sz="0" w:space="0" w:color="auto"/>
      </w:divBdr>
    </w:div>
    <w:div w:id="1659966711">
      <w:bodyDiv w:val="1"/>
      <w:marLeft w:val="0"/>
      <w:marRight w:val="0"/>
      <w:marTop w:val="0"/>
      <w:marBottom w:val="0"/>
      <w:divBdr>
        <w:top w:val="none" w:sz="0" w:space="0" w:color="auto"/>
        <w:left w:val="none" w:sz="0" w:space="0" w:color="auto"/>
        <w:bottom w:val="none" w:sz="0" w:space="0" w:color="auto"/>
        <w:right w:val="none" w:sz="0" w:space="0" w:color="auto"/>
      </w:divBdr>
    </w:div>
    <w:div w:id="1735814537">
      <w:bodyDiv w:val="1"/>
      <w:marLeft w:val="0"/>
      <w:marRight w:val="0"/>
      <w:marTop w:val="0"/>
      <w:marBottom w:val="0"/>
      <w:divBdr>
        <w:top w:val="none" w:sz="0" w:space="0" w:color="auto"/>
        <w:left w:val="none" w:sz="0" w:space="0" w:color="auto"/>
        <w:bottom w:val="none" w:sz="0" w:space="0" w:color="auto"/>
        <w:right w:val="none" w:sz="0" w:space="0" w:color="auto"/>
      </w:divBdr>
    </w:div>
    <w:div w:id="178029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52020DC0383&amp;rid=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ED8F1-03A3-4033-A40F-CD34AC183DFD}">
  <ds:schemaRefs>
    <ds:schemaRef ds:uri="http://www.w3.org/2001/XMLSchema"/>
  </ds:schemaRefs>
</ds:datastoreItem>
</file>

<file path=customXml/itemProps2.xml><?xml version="1.0" encoding="utf-8"?>
<ds:datastoreItem xmlns:ds="http://schemas.openxmlformats.org/officeDocument/2006/customXml" ds:itemID="{9DB076BB-7756-400F-9013-858C2C07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6816</Words>
  <Characters>40900</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MILLENNIUM BANK S.A.</Company>
  <LinksUpToDate>false</LinksUpToDate>
  <CharactersWithSpaces>47621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 Kielich</dc:creator>
  <cp:lastModifiedBy>Joanna Jaroch</cp:lastModifiedBy>
  <cp:revision>3</cp:revision>
  <cp:lastPrinted>2022-07-11T09:05:00Z</cp:lastPrinted>
  <dcterms:created xsi:type="dcterms:W3CDTF">2022-07-11T09:28:00Z</dcterms:created>
  <dcterms:modified xsi:type="dcterms:W3CDTF">2022-07-11T09:28:00Z</dcterms:modified>
  <cp:category>INTERNAL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ukanITGREENmodCATEGORY">
    <vt:lpwstr>INTERNAL</vt:lpwstr>
  </property>
  <property fmtid="{D5CDD505-2E9C-101B-9397-08002B2CF9AE}" pid="3" name="TukanITGREENmodClassifiedBy">
    <vt:lpwstr>ACCREOT\azbroinski;Adam Zbroiński</vt:lpwstr>
  </property>
  <property fmtid="{D5CDD505-2E9C-101B-9397-08002B2CF9AE}" pid="4" name="TukanITGREENmodClassificationDate">
    <vt:lpwstr>2021-04-14T12:04:39.9255389+02:00</vt:lpwstr>
  </property>
  <property fmtid="{D5CDD505-2E9C-101B-9397-08002B2CF9AE}" pid="5" name="TukanITGREENmodClassifiedBySID">
    <vt:lpwstr>ACCREOT\S-1-5-21-2689679564-127267201-59131381-8119</vt:lpwstr>
  </property>
  <property fmtid="{D5CDD505-2E9C-101B-9397-08002B2CF9AE}" pid="6" name="TukanITGREENmodGRNItemId">
    <vt:lpwstr>GRN-e711ee46-3192-4fc3-afbc-d37f63e46a04</vt:lpwstr>
  </property>
  <property fmtid="{D5CDD505-2E9C-101B-9397-08002B2CF9AE}" pid="7" name="TukanITGREENmodHash">
    <vt:lpwstr>sxFQvkTGurw2yb+/Kuh01YeamkM7TmdHaweXtFYhJNw=</vt:lpwstr>
  </property>
  <property fmtid="{D5CDD505-2E9C-101B-9397-08002B2CF9AE}" pid="8" name="DLPManualFileClassification">
    <vt:lpwstr>{ec400ec9-b910-4313-8a41-9b60e33b5798}</vt:lpwstr>
  </property>
  <property fmtid="{D5CDD505-2E9C-101B-9397-08002B2CF9AE}" pid="9" name="TukanITGREENmodRefresh">
    <vt:lpwstr>False</vt:lpwstr>
  </property>
</Properties>
</file>