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F46C" w14:textId="77777777" w:rsidR="003D2688" w:rsidRPr="00C173DC" w:rsidRDefault="00BB49A5" w:rsidP="00E22BD5">
      <w:pPr>
        <w:pStyle w:val="Body"/>
        <w:jc w:val="both"/>
        <w:rPr>
          <w:color w:val="auto"/>
        </w:rPr>
      </w:pPr>
      <w:r w:rsidRPr="00C173DC">
        <w:rPr>
          <w:noProof/>
          <w:color w:val="auto"/>
          <w:bdr w:val="none" w:sz="0" w:space="0" w:color="auto"/>
          <w:lang w:eastAsia="en-GB"/>
        </w:rPr>
        <w:drawing>
          <wp:anchor distT="0" distB="0" distL="0" distR="0" simplePos="0" relativeHeight="251657728" behindDoc="0" locked="0" layoutInCell="1" allowOverlap="1" wp14:anchorId="0B8909F4" wp14:editId="234F8ED0">
            <wp:simplePos x="0" y="0"/>
            <wp:positionH relativeFrom="column">
              <wp:posOffset>3023235</wp:posOffset>
            </wp:positionH>
            <wp:positionV relativeFrom="line">
              <wp:posOffset>-454025</wp:posOffset>
            </wp:positionV>
            <wp:extent cx="2581275" cy="381000"/>
            <wp:effectExtent l="19050" t="0" r="9525" b="0"/>
            <wp:wrapNone/>
            <wp:docPr id="2" name="officeArt object" descr="T&amp;T_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T&amp;T_Logo 2008"/>
                    <pic:cNvPicPr>
                      <a:picLocks noChangeAspect="1" noChangeArrowheads="1"/>
                    </pic:cNvPicPr>
                  </pic:nvPicPr>
                  <pic:blipFill>
                    <a:blip r:embed="rId8"/>
                    <a:srcRect/>
                    <a:stretch>
                      <a:fillRect/>
                    </a:stretch>
                  </pic:blipFill>
                  <pic:spPr bwMode="auto">
                    <a:xfrm>
                      <a:off x="0" y="0"/>
                      <a:ext cx="2581275" cy="381000"/>
                    </a:xfrm>
                    <a:prstGeom prst="rect">
                      <a:avLst/>
                    </a:prstGeom>
                    <a:noFill/>
                    <a:ln w="12700">
                      <a:noFill/>
                      <a:miter lim="400000"/>
                      <a:headEnd/>
                      <a:tailEnd/>
                    </a:ln>
                  </pic:spPr>
                </pic:pic>
              </a:graphicData>
            </a:graphic>
          </wp:anchor>
        </w:drawing>
      </w:r>
    </w:p>
    <w:p w14:paraId="5AD8B417" w14:textId="7AEB473F" w:rsidR="006D6744" w:rsidRDefault="004875F6" w:rsidP="006D6744">
      <w:pPr>
        <w:spacing w:line="360" w:lineRule="auto"/>
        <w:rPr>
          <w:rFonts w:ascii="Verdana"/>
          <w:b/>
          <w:bCs/>
          <w:szCs w:val="22"/>
        </w:rPr>
      </w:pPr>
      <w:r>
        <w:rPr>
          <w:rFonts w:ascii="Verdana"/>
          <w:b/>
          <w:bCs/>
          <w:szCs w:val="22"/>
        </w:rPr>
        <w:t>22</w:t>
      </w:r>
      <w:r w:rsidR="006D6744">
        <w:rPr>
          <w:rFonts w:ascii="Verdana"/>
          <w:b/>
          <w:bCs/>
          <w:szCs w:val="22"/>
        </w:rPr>
        <w:t xml:space="preserve"> September 2020</w:t>
      </w:r>
    </w:p>
    <w:p w14:paraId="4E52E1D3" w14:textId="77777777" w:rsidR="006D6744" w:rsidRDefault="006D6744" w:rsidP="006D6744">
      <w:pPr>
        <w:spacing w:line="360" w:lineRule="auto"/>
        <w:rPr>
          <w:rFonts w:ascii="Verdana"/>
          <w:b/>
          <w:bCs/>
          <w:szCs w:val="22"/>
        </w:rPr>
      </w:pPr>
    </w:p>
    <w:p w14:paraId="74BFB7A3" w14:textId="7E21D116" w:rsidR="00BF4132" w:rsidRPr="00A40755" w:rsidRDefault="00024044" w:rsidP="00BC7EC1">
      <w:pPr>
        <w:spacing w:line="360" w:lineRule="auto"/>
        <w:jc w:val="center"/>
        <w:rPr>
          <w:rFonts w:ascii="Verdana"/>
          <w:b/>
          <w:bCs/>
          <w:szCs w:val="22"/>
        </w:rPr>
      </w:pPr>
      <w:r w:rsidRPr="00A16FAD">
        <w:rPr>
          <w:rFonts w:ascii="Verdana"/>
          <w:b/>
          <w:bCs/>
          <w:szCs w:val="22"/>
        </w:rPr>
        <w:t>Turner &amp; Townsend</w:t>
      </w:r>
      <w:r w:rsidR="00BF4132" w:rsidRPr="00A16FAD">
        <w:rPr>
          <w:rFonts w:ascii="Verdana"/>
          <w:b/>
          <w:bCs/>
          <w:szCs w:val="22"/>
        </w:rPr>
        <w:t xml:space="preserve"> </w:t>
      </w:r>
      <w:r w:rsidR="00A16FAD">
        <w:rPr>
          <w:rFonts w:ascii="Verdana"/>
          <w:b/>
          <w:bCs/>
          <w:szCs w:val="22"/>
        </w:rPr>
        <w:t xml:space="preserve">resilient in face of global challenges, with turnover </w:t>
      </w:r>
      <w:r w:rsidR="00A16FAD" w:rsidRPr="00A40755">
        <w:rPr>
          <w:rFonts w:ascii="Verdana"/>
          <w:b/>
          <w:bCs/>
          <w:szCs w:val="22"/>
        </w:rPr>
        <w:t xml:space="preserve">reaching </w:t>
      </w:r>
      <w:r w:rsidR="00A16FAD" w:rsidRPr="00EA29B8">
        <w:rPr>
          <w:rFonts w:ascii="Verdana" w:hAnsi="Verdana"/>
          <w:b/>
          <w:bCs/>
          <w:szCs w:val="22"/>
        </w:rPr>
        <w:t>£</w:t>
      </w:r>
      <w:r w:rsidR="00A16FAD" w:rsidRPr="00A40755">
        <w:rPr>
          <w:rFonts w:ascii="Verdana"/>
          <w:b/>
          <w:bCs/>
          <w:szCs w:val="22"/>
        </w:rPr>
        <w:t>744m</w:t>
      </w:r>
    </w:p>
    <w:p w14:paraId="79F4D156" w14:textId="77777777" w:rsidR="00630FE9" w:rsidRPr="00A40755" w:rsidRDefault="00630FE9" w:rsidP="00630FE9">
      <w:pPr>
        <w:spacing w:line="360" w:lineRule="auto"/>
        <w:ind w:left="720"/>
        <w:rPr>
          <w:rFonts w:ascii="Verdana" w:hAnsi="Verdana" w:cs="Arial"/>
          <w:sz w:val="18"/>
          <w:szCs w:val="18"/>
          <w:lang w:val="en-GB"/>
        </w:rPr>
      </w:pPr>
    </w:p>
    <w:p w14:paraId="7D85C91F" w14:textId="6BB4912A" w:rsidR="00742570" w:rsidRPr="00A40755" w:rsidRDefault="003E6833" w:rsidP="003309B4">
      <w:pPr>
        <w:numPr>
          <w:ilvl w:val="0"/>
          <w:numId w:val="3"/>
        </w:numPr>
        <w:tabs>
          <w:tab w:val="num" w:pos="284"/>
        </w:tabs>
        <w:spacing w:line="360" w:lineRule="auto"/>
        <w:ind w:left="709" w:hanging="425"/>
        <w:rPr>
          <w:rFonts w:ascii="Verdana" w:hAnsi="Verdana" w:cs="Arial"/>
          <w:sz w:val="20"/>
          <w:szCs w:val="20"/>
          <w:lang w:val="en-GB"/>
        </w:rPr>
      </w:pPr>
      <w:r w:rsidRPr="00A40755">
        <w:rPr>
          <w:rFonts w:ascii="Verdana" w:hAnsi="Verdana" w:cs="Arial"/>
          <w:sz w:val="20"/>
          <w:szCs w:val="20"/>
          <w:lang w:val="en-GB"/>
        </w:rPr>
        <w:t>Despite COVID-19 shocks, global professional services firm saw 2019-20 turnover rise to £744m</w:t>
      </w:r>
      <w:r w:rsidR="0075360D" w:rsidRPr="00A40755">
        <w:rPr>
          <w:rFonts w:ascii="Verdana" w:hAnsi="Verdana" w:cs="Arial"/>
          <w:sz w:val="20"/>
          <w:szCs w:val="20"/>
          <w:lang w:val="en-GB"/>
        </w:rPr>
        <w:t xml:space="preserve">, </w:t>
      </w:r>
      <w:r w:rsidR="00742570" w:rsidRPr="00A40755">
        <w:rPr>
          <w:rFonts w:ascii="Verdana" w:hAnsi="Verdana" w:cs="Arial"/>
          <w:sz w:val="20"/>
          <w:szCs w:val="20"/>
          <w:lang w:val="en-GB"/>
        </w:rPr>
        <w:t xml:space="preserve">as net revenues increase by £101m to £681m </w:t>
      </w:r>
    </w:p>
    <w:p w14:paraId="38D68182" w14:textId="2F192CBB" w:rsidR="0085727E" w:rsidRPr="00A40755" w:rsidRDefault="004875F6" w:rsidP="003309B4">
      <w:pPr>
        <w:numPr>
          <w:ilvl w:val="0"/>
          <w:numId w:val="3"/>
        </w:numPr>
        <w:tabs>
          <w:tab w:val="num" w:pos="284"/>
        </w:tabs>
        <w:spacing w:line="360" w:lineRule="auto"/>
        <w:ind w:left="709" w:hanging="425"/>
        <w:rPr>
          <w:rFonts w:ascii="Verdana" w:hAnsi="Verdana" w:cs="Arial"/>
          <w:sz w:val="20"/>
          <w:szCs w:val="20"/>
          <w:lang w:val="en-GB"/>
        </w:rPr>
      </w:pPr>
      <w:r w:rsidRPr="00A40755">
        <w:rPr>
          <w:rFonts w:ascii="Verdana" w:hAnsi="Verdana" w:cs="Arial"/>
          <w:sz w:val="20"/>
          <w:szCs w:val="20"/>
          <w:lang w:val="en-GB"/>
        </w:rPr>
        <w:t>Australia</w:t>
      </w:r>
      <w:r w:rsidR="0075360D" w:rsidRPr="00A40755">
        <w:rPr>
          <w:rFonts w:ascii="Verdana" w:hAnsi="Verdana" w:cs="Arial"/>
          <w:sz w:val="20"/>
          <w:szCs w:val="20"/>
          <w:lang w:val="en-GB"/>
        </w:rPr>
        <w:t xml:space="preserve"> </w:t>
      </w:r>
      <w:r w:rsidR="00A7236C" w:rsidRPr="00A40755">
        <w:rPr>
          <w:rFonts w:ascii="Verdana" w:hAnsi="Verdana" w:cs="Arial"/>
          <w:sz w:val="20"/>
          <w:szCs w:val="20"/>
          <w:lang w:val="en-GB"/>
        </w:rPr>
        <w:t xml:space="preserve">net revenue </w:t>
      </w:r>
      <w:r w:rsidR="00794456" w:rsidRPr="00A40755">
        <w:rPr>
          <w:rFonts w:ascii="Verdana" w:hAnsi="Verdana" w:cs="Arial"/>
          <w:sz w:val="20"/>
          <w:szCs w:val="20"/>
          <w:lang w:val="en-GB"/>
        </w:rPr>
        <w:t>grows by</w:t>
      </w:r>
      <w:r w:rsidR="00351292" w:rsidRPr="00A40755">
        <w:rPr>
          <w:rFonts w:ascii="Verdana" w:hAnsi="Verdana" w:cs="Arial"/>
          <w:sz w:val="20"/>
          <w:szCs w:val="20"/>
          <w:lang w:val="en-GB"/>
        </w:rPr>
        <w:t xml:space="preserve"> </w:t>
      </w:r>
      <w:r w:rsidR="00112A16" w:rsidRPr="00A40755">
        <w:rPr>
          <w:rFonts w:ascii="Verdana" w:hAnsi="Verdana" w:cs="Arial"/>
          <w:sz w:val="20"/>
          <w:szCs w:val="20"/>
          <w:lang w:val="en-GB"/>
        </w:rPr>
        <w:t>nine</w:t>
      </w:r>
      <w:r w:rsidR="0075360D" w:rsidRPr="00A40755">
        <w:rPr>
          <w:rFonts w:ascii="Verdana" w:hAnsi="Verdana" w:cs="Arial"/>
          <w:sz w:val="20"/>
          <w:szCs w:val="20"/>
          <w:lang w:val="en-GB"/>
        </w:rPr>
        <w:t xml:space="preserve"> percent, to £</w:t>
      </w:r>
      <w:r w:rsidR="00A40755" w:rsidRPr="00A40755">
        <w:rPr>
          <w:rFonts w:ascii="Verdana" w:hAnsi="Verdana" w:cs="Arial"/>
          <w:sz w:val="20"/>
          <w:szCs w:val="20"/>
          <w:lang w:val="en-GB"/>
        </w:rPr>
        <w:t>69.5</w:t>
      </w:r>
      <w:r w:rsidR="0075360D" w:rsidRPr="00A40755">
        <w:rPr>
          <w:rFonts w:ascii="Verdana" w:hAnsi="Verdana" w:cs="Arial"/>
          <w:sz w:val="20"/>
          <w:szCs w:val="20"/>
          <w:lang w:val="en-GB"/>
        </w:rPr>
        <w:t>m</w:t>
      </w:r>
      <w:r w:rsidR="00794456" w:rsidRPr="00A40755">
        <w:rPr>
          <w:rFonts w:ascii="Verdana" w:hAnsi="Verdana" w:cs="Arial"/>
          <w:sz w:val="20"/>
          <w:szCs w:val="20"/>
          <w:lang w:val="en-GB"/>
        </w:rPr>
        <w:t xml:space="preserve"> </w:t>
      </w:r>
    </w:p>
    <w:p w14:paraId="18332901" w14:textId="20F8F3A1" w:rsidR="00F32D10" w:rsidRPr="00A40755" w:rsidRDefault="003E6833" w:rsidP="003309B4">
      <w:pPr>
        <w:numPr>
          <w:ilvl w:val="0"/>
          <w:numId w:val="3"/>
        </w:numPr>
        <w:tabs>
          <w:tab w:val="num" w:pos="284"/>
        </w:tabs>
        <w:spacing w:line="360" w:lineRule="auto"/>
        <w:ind w:left="709" w:hanging="425"/>
        <w:rPr>
          <w:rFonts w:ascii="Verdana" w:hAnsi="Verdana" w:cs="Arial"/>
          <w:sz w:val="20"/>
          <w:szCs w:val="20"/>
        </w:rPr>
      </w:pPr>
      <w:r w:rsidRPr="00A40755">
        <w:rPr>
          <w:rFonts w:ascii="Verdana" w:hAnsi="Verdana" w:cs="Arial"/>
          <w:sz w:val="20"/>
          <w:szCs w:val="20"/>
          <w:lang w:val="en-GB"/>
        </w:rPr>
        <w:t>Business resilience driven by a focus on emerging markets</w:t>
      </w:r>
      <w:r w:rsidR="00B82C32" w:rsidRPr="00A40755">
        <w:rPr>
          <w:rFonts w:ascii="Verdana" w:hAnsi="Verdana" w:cs="Arial"/>
          <w:sz w:val="20"/>
          <w:szCs w:val="20"/>
          <w:lang w:val="en-GB"/>
        </w:rPr>
        <w:t xml:space="preserve"> </w:t>
      </w:r>
      <w:r w:rsidR="002F3F6A" w:rsidRPr="00A40755">
        <w:rPr>
          <w:rFonts w:ascii="Verdana" w:hAnsi="Verdana" w:cs="Arial"/>
          <w:sz w:val="20"/>
          <w:szCs w:val="20"/>
          <w:lang w:val="en-GB"/>
        </w:rPr>
        <w:t xml:space="preserve">and </w:t>
      </w:r>
      <w:r w:rsidR="00880D06" w:rsidRPr="00A40755">
        <w:rPr>
          <w:rFonts w:ascii="Verdana" w:hAnsi="Verdana" w:cs="Arial"/>
          <w:sz w:val="20"/>
          <w:szCs w:val="20"/>
          <w:lang w:val="en-GB"/>
        </w:rPr>
        <w:t xml:space="preserve">client </w:t>
      </w:r>
      <w:r w:rsidRPr="00A40755">
        <w:rPr>
          <w:rFonts w:ascii="Verdana" w:hAnsi="Verdana" w:cs="Arial"/>
          <w:sz w:val="20"/>
          <w:szCs w:val="20"/>
          <w:lang w:val="en-GB"/>
        </w:rPr>
        <w:t>partnership</w:t>
      </w:r>
      <w:r w:rsidR="00880D06" w:rsidRPr="00A40755">
        <w:rPr>
          <w:rFonts w:ascii="Verdana" w:hAnsi="Verdana" w:cs="Arial"/>
          <w:sz w:val="20"/>
          <w:szCs w:val="20"/>
          <w:lang w:val="en-GB"/>
        </w:rPr>
        <w:t>s</w:t>
      </w:r>
      <w:r w:rsidRPr="00A40755">
        <w:rPr>
          <w:rFonts w:ascii="Verdana" w:hAnsi="Verdana" w:cs="Arial"/>
          <w:sz w:val="20"/>
          <w:szCs w:val="20"/>
          <w:lang w:val="en-GB"/>
        </w:rPr>
        <w:t xml:space="preserve"> </w:t>
      </w:r>
      <w:r w:rsidR="00B82C32" w:rsidRPr="00A40755">
        <w:rPr>
          <w:rFonts w:ascii="Verdana" w:hAnsi="Verdana" w:cs="Arial"/>
          <w:sz w:val="20"/>
          <w:szCs w:val="20"/>
          <w:lang w:val="en-GB"/>
        </w:rPr>
        <w:t xml:space="preserve"> </w:t>
      </w:r>
    </w:p>
    <w:p w14:paraId="7DB8B77E" w14:textId="77777777" w:rsidR="00F32D10" w:rsidRPr="00A40755" w:rsidRDefault="00F32D10" w:rsidP="00C8162E">
      <w:pPr>
        <w:spacing w:line="360" w:lineRule="auto"/>
        <w:rPr>
          <w:rFonts w:ascii="Verdana" w:hAnsi="Verdana" w:cs="Arial"/>
          <w:sz w:val="18"/>
          <w:szCs w:val="18"/>
        </w:rPr>
      </w:pPr>
      <w:r w:rsidRPr="00A40755">
        <w:rPr>
          <w:rFonts w:ascii="Verdana" w:hAnsi="Verdana" w:cs="Arial"/>
          <w:sz w:val="18"/>
          <w:szCs w:val="18"/>
        </w:rPr>
        <w:t xml:space="preserve">    </w:t>
      </w:r>
    </w:p>
    <w:p w14:paraId="32645C74" w14:textId="534C1D80" w:rsidR="008244B1" w:rsidRPr="00A40755" w:rsidRDefault="0085727E" w:rsidP="008244B1">
      <w:pPr>
        <w:spacing w:line="360" w:lineRule="auto"/>
        <w:rPr>
          <w:rFonts w:ascii="Verdana" w:hAnsi="Verdana" w:cs="Arial"/>
          <w:sz w:val="20"/>
          <w:szCs w:val="20"/>
          <w:lang w:val="en-GB"/>
        </w:rPr>
      </w:pPr>
      <w:r w:rsidRPr="00A40755">
        <w:rPr>
          <w:rFonts w:ascii="Verdana" w:hAnsi="Verdana" w:cs="Arial"/>
          <w:sz w:val="20"/>
          <w:szCs w:val="20"/>
          <w:lang w:val="en-GB"/>
        </w:rPr>
        <w:t>Global</w:t>
      </w:r>
      <w:r w:rsidR="008244B1" w:rsidRPr="00A40755">
        <w:rPr>
          <w:rFonts w:ascii="Verdana" w:hAnsi="Verdana" w:cs="Arial"/>
          <w:sz w:val="20"/>
          <w:szCs w:val="20"/>
          <w:lang w:val="en-GB"/>
        </w:rPr>
        <w:t xml:space="preserve"> independent professional services </w:t>
      </w:r>
      <w:r w:rsidRPr="00A40755">
        <w:rPr>
          <w:rFonts w:ascii="Verdana" w:hAnsi="Verdana" w:cs="Arial"/>
          <w:sz w:val="20"/>
          <w:szCs w:val="20"/>
          <w:lang w:val="en-GB"/>
        </w:rPr>
        <w:t>firm</w:t>
      </w:r>
      <w:r w:rsidR="008244B1" w:rsidRPr="00A40755">
        <w:rPr>
          <w:rFonts w:ascii="Verdana" w:hAnsi="Verdana" w:cs="Arial"/>
          <w:sz w:val="20"/>
          <w:szCs w:val="20"/>
          <w:lang w:val="en-GB"/>
        </w:rPr>
        <w:t xml:space="preserve"> Turner &amp; Townsend has </w:t>
      </w:r>
      <w:r w:rsidR="00E01CF8" w:rsidRPr="00A40755">
        <w:rPr>
          <w:rFonts w:ascii="Verdana" w:hAnsi="Verdana" w:cs="Arial"/>
          <w:sz w:val="20"/>
          <w:szCs w:val="20"/>
          <w:lang w:val="en-GB"/>
        </w:rPr>
        <w:t>reported</w:t>
      </w:r>
      <w:r w:rsidR="00742570" w:rsidRPr="00A40755">
        <w:rPr>
          <w:rFonts w:ascii="Verdana" w:hAnsi="Verdana" w:cs="Arial"/>
          <w:sz w:val="20"/>
          <w:szCs w:val="20"/>
          <w:lang w:val="en-GB"/>
        </w:rPr>
        <w:t xml:space="preserve"> </w:t>
      </w:r>
      <w:r w:rsidRPr="00A40755">
        <w:rPr>
          <w:rFonts w:ascii="Verdana" w:hAnsi="Verdana" w:cs="Arial"/>
          <w:sz w:val="20"/>
          <w:szCs w:val="20"/>
          <w:lang w:val="en-GB"/>
        </w:rPr>
        <w:t xml:space="preserve">turnover </w:t>
      </w:r>
      <w:r w:rsidR="00E01CF8" w:rsidRPr="00A40755">
        <w:rPr>
          <w:rFonts w:ascii="Verdana" w:hAnsi="Verdana" w:cs="Arial"/>
          <w:sz w:val="20"/>
          <w:szCs w:val="20"/>
          <w:lang w:val="en-GB"/>
        </w:rPr>
        <w:t>of</w:t>
      </w:r>
      <w:r w:rsidRPr="00A40755">
        <w:rPr>
          <w:rFonts w:ascii="Verdana" w:hAnsi="Verdana" w:cs="Arial"/>
          <w:sz w:val="20"/>
          <w:szCs w:val="20"/>
          <w:lang w:val="en-GB"/>
        </w:rPr>
        <w:t xml:space="preserve"> £</w:t>
      </w:r>
      <w:r w:rsidR="00E01CF8" w:rsidRPr="00A40755">
        <w:rPr>
          <w:rFonts w:ascii="Verdana" w:hAnsi="Verdana" w:cs="Arial"/>
          <w:sz w:val="20"/>
          <w:szCs w:val="20"/>
          <w:lang w:val="en-GB"/>
        </w:rPr>
        <w:t>744</w:t>
      </w:r>
      <w:r w:rsidRPr="00A40755">
        <w:rPr>
          <w:rFonts w:ascii="Verdana" w:hAnsi="Verdana" w:cs="Arial"/>
          <w:sz w:val="20"/>
          <w:szCs w:val="20"/>
          <w:lang w:val="en-GB"/>
        </w:rPr>
        <w:t>m</w:t>
      </w:r>
      <w:r w:rsidR="0075360D" w:rsidRPr="00A40755">
        <w:rPr>
          <w:rFonts w:ascii="Verdana" w:hAnsi="Verdana" w:cs="Arial"/>
          <w:sz w:val="20"/>
          <w:szCs w:val="20"/>
          <w:lang w:val="en-GB"/>
        </w:rPr>
        <w:t xml:space="preserve"> for the year ending 30</w:t>
      </w:r>
      <w:r w:rsidR="005433B1" w:rsidRPr="00A40755">
        <w:rPr>
          <w:rFonts w:ascii="Verdana" w:hAnsi="Verdana" w:cs="Arial"/>
          <w:sz w:val="20"/>
          <w:szCs w:val="20"/>
          <w:lang w:val="en-GB"/>
        </w:rPr>
        <w:t xml:space="preserve"> </w:t>
      </w:r>
      <w:r w:rsidR="0075360D" w:rsidRPr="00A40755">
        <w:rPr>
          <w:rFonts w:ascii="Verdana" w:hAnsi="Verdana" w:cs="Arial"/>
          <w:sz w:val="20"/>
          <w:szCs w:val="20"/>
          <w:lang w:val="en-GB"/>
        </w:rPr>
        <w:t>April 20</w:t>
      </w:r>
      <w:r w:rsidR="00E01CF8" w:rsidRPr="00A40755">
        <w:rPr>
          <w:rFonts w:ascii="Verdana" w:hAnsi="Verdana" w:cs="Arial"/>
          <w:sz w:val="20"/>
          <w:szCs w:val="20"/>
          <w:lang w:val="en-GB"/>
        </w:rPr>
        <w:t>20</w:t>
      </w:r>
      <w:r w:rsidR="0075360D" w:rsidRPr="00A40755">
        <w:rPr>
          <w:rFonts w:ascii="Verdana" w:hAnsi="Verdana" w:cs="Arial"/>
          <w:sz w:val="20"/>
          <w:szCs w:val="20"/>
          <w:lang w:val="en-GB"/>
        </w:rPr>
        <w:t xml:space="preserve">, </w:t>
      </w:r>
      <w:r w:rsidR="00794456" w:rsidRPr="00A40755">
        <w:rPr>
          <w:rFonts w:ascii="Verdana" w:hAnsi="Verdana" w:cs="Arial"/>
          <w:sz w:val="20"/>
          <w:szCs w:val="20"/>
          <w:lang w:val="en-GB"/>
        </w:rPr>
        <w:t xml:space="preserve">despite the impact of COVID-19 on the last quarter. </w:t>
      </w:r>
    </w:p>
    <w:p w14:paraId="4F3B9566" w14:textId="77777777" w:rsidR="0075360D" w:rsidRPr="00A40755" w:rsidRDefault="0075360D" w:rsidP="008244B1">
      <w:pPr>
        <w:spacing w:line="360" w:lineRule="auto"/>
        <w:rPr>
          <w:rFonts w:ascii="Verdana" w:hAnsi="Verdana" w:cs="Arial"/>
          <w:sz w:val="20"/>
          <w:szCs w:val="20"/>
          <w:lang w:val="en-GB"/>
        </w:rPr>
      </w:pPr>
    </w:p>
    <w:p w14:paraId="6E6F3973" w14:textId="73D5CAB0" w:rsidR="00447546" w:rsidRPr="00A40755" w:rsidRDefault="00095B4B" w:rsidP="00620259">
      <w:pPr>
        <w:spacing w:line="360" w:lineRule="auto"/>
        <w:rPr>
          <w:rFonts w:ascii="Verdana" w:hAnsi="Verdana" w:cs="Arial"/>
          <w:sz w:val="20"/>
          <w:szCs w:val="20"/>
          <w:lang w:val="en-GB"/>
        </w:rPr>
      </w:pPr>
      <w:r w:rsidRPr="00A40755">
        <w:rPr>
          <w:rFonts w:ascii="Verdana" w:hAnsi="Verdana" w:cs="Arial"/>
          <w:sz w:val="20"/>
          <w:szCs w:val="20"/>
          <w:lang w:val="en-GB"/>
        </w:rPr>
        <w:t>T</w:t>
      </w:r>
      <w:r w:rsidR="00633FDA" w:rsidRPr="00A40755">
        <w:rPr>
          <w:rFonts w:ascii="Verdana" w:hAnsi="Verdana" w:cs="Arial"/>
          <w:sz w:val="20"/>
          <w:szCs w:val="20"/>
          <w:lang w:val="en-GB"/>
        </w:rPr>
        <w:t>he company</w:t>
      </w:r>
      <w:r w:rsidR="0075360D" w:rsidRPr="00A40755">
        <w:rPr>
          <w:rFonts w:ascii="Verdana" w:hAnsi="Verdana" w:cs="Arial"/>
          <w:sz w:val="20"/>
          <w:szCs w:val="20"/>
          <w:lang w:val="en-GB"/>
        </w:rPr>
        <w:t xml:space="preserve">, </w:t>
      </w:r>
      <w:r w:rsidR="00F34B1D" w:rsidRPr="00A40755">
        <w:rPr>
          <w:rFonts w:ascii="Verdana" w:hAnsi="Verdana" w:cs="Arial"/>
          <w:sz w:val="20"/>
          <w:szCs w:val="20"/>
          <w:lang w:val="en-GB"/>
        </w:rPr>
        <w:t>which</w:t>
      </w:r>
      <w:r w:rsidR="00C36F73" w:rsidRPr="00A40755">
        <w:rPr>
          <w:rFonts w:ascii="Verdana" w:hAnsi="Verdana" w:cs="Arial"/>
          <w:sz w:val="20"/>
          <w:szCs w:val="20"/>
          <w:lang w:val="en-GB"/>
        </w:rPr>
        <w:t xml:space="preserve"> works on </w:t>
      </w:r>
      <w:r w:rsidR="00BB49A5" w:rsidRPr="00A40755">
        <w:rPr>
          <w:rFonts w:ascii="Verdana" w:hAnsi="Verdana" w:cs="Arial"/>
          <w:sz w:val="20"/>
          <w:szCs w:val="20"/>
          <w:lang w:val="en-GB"/>
        </w:rPr>
        <w:t xml:space="preserve">some of </w:t>
      </w:r>
      <w:r w:rsidR="00C36F73" w:rsidRPr="00A40755">
        <w:rPr>
          <w:rFonts w:ascii="Verdana" w:hAnsi="Verdana" w:cs="Arial"/>
          <w:sz w:val="20"/>
          <w:szCs w:val="20"/>
          <w:lang w:val="en-GB"/>
        </w:rPr>
        <w:t>the world’s largest</w:t>
      </w:r>
      <w:r w:rsidR="00034B98" w:rsidRPr="00A40755">
        <w:rPr>
          <w:rFonts w:ascii="Verdana" w:hAnsi="Verdana" w:cs="Arial"/>
          <w:sz w:val="20"/>
          <w:szCs w:val="20"/>
          <w:lang w:val="en-GB"/>
        </w:rPr>
        <w:t xml:space="preserve"> and most complex</w:t>
      </w:r>
      <w:r w:rsidR="00C36F73" w:rsidRPr="00A40755">
        <w:rPr>
          <w:rFonts w:ascii="Verdana" w:hAnsi="Verdana" w:cs="Arial"/>
          <w:sz w:val="20"/>
          <w:szCs w:val="20"/>
          <w:lang w:val="en-GB"/>
        </w:rPr>
        <w:t xml:space="preserve"> capital project</w:t>
      </w:r>
      <w:r w:rsidR="00120729" w:rsidRPr="00A40755">
        <w:rPr>
          <w:rFonts w:ascii="Verdana" w:hAnsi="Verdana" w:cs="Arial"/>
          <w:sz w:val="20"/>
          <w:szCs w:val="20"/>
          <w:lang w:val="en-GB"/>
        </w:rPr>
        <w:t xml:space="preserve">s </w:t>
      </w:r>
      <w:r w:rsidR="00D96D31" w:rsidRPr="00A40755">
        <w:rPr>
          <w:rFonts w:ascii="Verdana" w:hAnsi="Verdana" w:cs="Arial"/>
          <w:sz w:val="20"/>
          <w:szCs w:val="20"/>
          <w:lang w:val="en-GB"/>
        </w:rPr>
        <w:t xml:space="preserve">and programs </w:t>
      </w:r>
      <w:r w:rsidR="00120729" w:rsidRPr="00A40755">
        <w:rPr>
          <w:rFonts w:ascii="Verdana" w:hAnsi="Verdana" w:cs="Arial"/>
          <w:sz w:val="20"/>
          <w:szCs w:val="20"/>
          <w:lang w:val="en-GB"/>
        </w:rPr>
        <w:t>across</w:t>
      </w:r>
      <w:r w:rsidR="007C34A8" w:rsidRPr="00A40755">
        <w:rPr>
          <w:rFonts w:ascii="Verdana" w:hAnsi="Verdana" w:cs="Arial"/>
          <w:sz w:val="20"/>
          <w:szCs w:val="20"/>
          <w:lang w:val="en-GB"/>
        </w:rPr>
        <w:t xml:space="preserve"> </w:t>
      </w:r>
      <w:r w:rsidR="00120729" w:rsidRPr="00A40755">
        <w:rPr>
          <w:rFonts w:ascii="Verdana" w:hAnsi="Verdana" w:cs="Arial"/>
          <w:sz w:val="20"/>
          <w:szCs w:val="20"/>
          <w:lang w:val="en-GB"/>
        </w:rPr>
        <w:t>real estate, infrastructure and natural resources</w:t>
      </w:r>
      <w:r w:rsidR="00336699" w:rsidRPr="00A40755">
        <w:rPr>
          <w:rFonts w:ascii="Verdana" w:hAnsi="Verdana" w:cs="Arial"/>
          <w:sz w:val="20"/>
          <w:szCs w:val="20"/>
          <w:lang w:val="en-GB"/>
        </w:rPr>
        <w:t>,</w:t>
      </w:r>
      <w:r w:rsidR="00120729" w:rsidRPr="00A40755">
        <w:rPr>
          <w:rFonts w:ascii="Verdana" w:hAnsi="Verdana" w:cs="Arial"/>
          <w:sz w:val="20"/>
          <w:szCs w:val="20"/>
          <w:lang w:val="en-GB"/>
        </w:rPr>
        <w:t xml:space="preserve"> </w:t>
      </w:r>
      <w:r w:rsidR="0088082A" w:rsidRPr="00A40755">
        <w:rPr>
          <w:rFonts w:ascii="Verdana" w:hAnsi="Verdana" w:cs="Arial"/>
          <w:sz w:val="20"/>
          <w:szCs w:val="20"/>
          <w:lang w:val="en-GB"/>
        </w:rPr>
        <w:t>increased</w:t>
      </w:r>
      <w:r w:rsidRPr="00A40755">
        <w:rPr>
          <w:rFonts w:ascii="Verdana" w:hAnsi="Verdana" w:cs="Arial"/>
          <w:sz w:val="20"/>
          <w:szCs w:val="20"/>
          <w:lang w:val="en-GB"/>
        </w:rPr>
        <w:t xml:space="preserve"> net revenue by £</w:t>
      </w:r>
      <w:r w:rsidR="00794456" w:rsidRPr="00A40755">
        <w:rPr>
          <w:rFonts w:ascii="Verdana" w:hAnsi="Verdana" w:cs="Arial"/>
          <w:sz w:val="20"/>
          <w:szCs w:val="20"/>
          <w:lang w:val="en-GB"/>
        </w:rPr>
        <w:t>101</w:t>
      </w:r>
      <w:r w:rsidRPr="00A40755">
        <w:rPr>
          <w:rFonts w:ascii="Verdana" w:hAnsi="Verdana" w:cs="Arial"/>
          <w:sz w:val="20"/>
          <w:szCs w:val="20"/>
          <w:lang w:val="en-GB"/>
        </w:rPr>
        <w:t xml:space="preserve"> million</w:t>
      </w:r>
      <w:r w:rsidR="00B91C82" w:rsidRPr="00A40755">
        <w:rPr>
          <w:rFonts w:ascii="Verdana" w:hAnsi="Verdana" w:cs="Arial"/>
          <w:sz w:val="20"/>
          <w:szCs w:val="20"/>
          <w:lang w:val="en-GB"/>
        </w:rPr>
        <w:t>, to £</w:t>
      </w:r>
      <w:r w:rsidR="00794456" w:rsidRPr="00A40755">
        <w:rPr>
          <w:rFonts w:ascii="Verdana" w:hAnsi="Verdana" w:cs="Arial"/>
          <w:sz w:val="20"/>
          <w:szCs w:val="20"/>
          <w:lang w:val="en-GB"/>
        </w:rPr>
        <w:t>681</w:t>
      </w:r>
      <w:r w:rsidR="00B91C82" w:rsidRPr="00A40755">
        <w:rPr>
          <w:rFonts w:ascii="Verdana" w:hAnsi="Verdana" w:cs="Arial"/>
          <w:sz w:val="20"/>
          <w:szCs w:val="20"/>
          <w:lang w:val="en-GB"/>
        </w:rPr>
        <w:t>m,</w:t>
      </w:r>
      <w:r w:rsidRPr="00A40755">
        <w:rPr>
          <w:rFonts w:ascii="Verdana" w:hAnsi="Verdana" w:cs="Arial"/>
          <w:sz w:val="20"/>
          <w:szCs w:val="20"/>
          <w:lang w:val="en-GB"/>
        </w:rPr>
        <w:t xml:space="preserve"> a </w:t>
      </w:r>
      <w:r w:rsidR="00794456" w:rsidRPr="00A40755">
        <w:rPr>
          <w:rFonts w:ascii="Verdana" w:hAnsi="Verdana" w:cs="Arial"/>
          <w:sz w:val="20"/>
          <w:szCs w:val="20"/>
          <w:lang w:val="en-GB"/>
        </w:rPr>
        <w:t>17</w:t>
      </w:r>
      <w:r w:rsidRPr="00A40755">
        <w:rPr>
          <w:rFonts w:ascii="Verdana" w:hAnsi="Verdana" w:cs="Arial"/>
          <w:sz w:val="20"/>
          <w:szCs w:val="20"/>
          <w:lang w:val="en-GB"/>
        </w:rPr>
        <w:t xml:space="preserve"> percent increase </w:t>
      </w:r>
      <w:r w:rsidR="00034B98" w:rsidRPr="00A40755">
        <w:rPr>
          <w:rFonts w:ascii="Verdana" w:hAnsi="Verdana" w:cs="Arial"/>
          <w:sz w:val="20"/>
          <w:szCs w:val="20"/>
          <w:lang w:val="en-GB"/>
        </w:rPr>
        <w:t>on 2018</w:t>
      </w:r>
      <w:r w:rsidR="00794456" w:rsidRPr="00A40755">
        <w:rPr>
          <w:rFonts w:ascii="Verdana" w:hAnsi="Verdana" w:cs="Arial"/>
          <w:sz w:val="20"/>
          <w:szCs w:val="20"/>
          <w:lang w:val="en-GB"/>
        </w:rPr>
        <w:t>-19</w:t>
      </w:r>
      <w:r w:rsidRPr="00A40755">
        <w:rPr>
          <w:rFonts w:ascii="Verdana" w:hAnsi="Verdana" w:cs="Arial"/>
          <w:sz w:val="20"/>
          <w:szCs w:val="20"/>
          <w:lang w:val="en-GB"/>
        </w:rPr>
        <w:t xml:space="preserve">. </w:t>
      </w:r>
      <w:r w:rsidR="007F232E" w:rsidRPr="00A40755">
        <w:rPr>
          <w:rFonts w:ascii="Verdana" w:hAnsi="Verdana" w:cs="Arial"/>
          <w:sz w:val="20"/>
          <w:szCs w:val="20"/>
          <w:lang w:val="en-GB"/>
        </w:rPr>
        <w:t xml:space="preserve"> </w:t>
      </w:r>
      <w:r w:rsidR="00E01CF8" w:rsidRPr="00A40755">
        <w:rPr>
          <w:rFonts w:ascii="Verdana" w:hAnsi="Verdana" w:cs="Arial"/>
          <w:sz w:val="20"/>
          <w:szCs w:val="20"/>
          <w:lang w:val="en-GB"/>
        </w:rPr>
        <w:t xml:space="preserve">In the UK, </w:t>
      </w:r>
      <w:r w:rsidR="00A7236C" w:rsidRPr="00A40755">
        <w:rPr>
          <w:rFonts w:ascii="Verdana" w:hAnsi="Verdana" w:cs="Arial"/>
          <w:sz w:val="20"/>
          <w:szCs w:val="20"/>
          <w:lang w:val="en-GB"/>
        </w:rPr>
        <w:t xml:space="preserve">net revenue </w:t>
      </w:r>
      <w:r w:rsidR="007F232E" w:rsidRPr="00A40755">
        <w:rPr>
          <w:rFonts w:ascii="Verdana" w:hAnsi="Verdana" w:cs="Arial"/>
          <w:sz w:val="20"/>
          <w:szCs w:val="20"/>
          <w:lang w:val="en-GB"/>
        </w:rPr>
        <w:t xml:space="preserve">rose by </w:t>
      </w:r>
      <w:r w:rsidR="00A7236C" w:rsidRPr="00A40755">
        <w:rPr>
          <w:rFonts w:ascii="Verdana" w:hAnsi="Verdana" w:cs="Arial"/>
          <w:sz w:val="20"/>
          <w:szCs w:val="20"/>
          <w:lang w:val="en-GB"/>
        </w:rPr>
        <w:t>nine</w:t>
      </w:r>
      <w:r w:rsidR="007F232E" w:rsidRPr="00A40755">
        <w:rPr>
          <w:rFonts w:ascii="Verdana" w:hAnsi="Verdana" w:cs="Arial"/>
          <w:sz w:val="20"/>
          <w:szCs w:val="20"/>
          <w:lang w:val="en-GB"/>
        </w:rPr>
        <w:t xml:space="preserve"> percent in 2019-20, to £283m. </w:t>
      </w:r>
    </w:p>
    <w:p w14:paraId="3DE624B8" w14:textId="411B743F" w:rsidR="007F232E" w:rsidRPr="00A40755" w:rsidRDefault="007F232E" w:rsidP="00620259">
      <w:pPr>
        <w:spacing w:line="360" w:lineRule="auto"/>
        <w:rPr>
          <w:rFonts w:ascii="Verdana" w:hAnsi="Verdana" w:cs="Arial"/>
          <w:sz w:val="20"/>
          <w:szCs w:val="20"/>
          <w:lang w:val="en-GB"/>
        </w:rPr>
      </w:pPr>
    </w:p>
    <w:p w14:paraId="0C2D56D5" w14:textId="77777777" w:rsidR="00254D81" w:rsidRPr="00A40755" w:rsidRDefault="00254D81" w:rsidP="00254D81">
      <w:pPr>
        <w:spacing w:line="360" w:lineRule="auto"/>
        <w:rPr>
          <w:rFonts w:ascii="Verdana" w:hAnsi="Verdana" w:cs="Arial"/>
          <w:b/>
          <w:bCs/>
          <w:sz w:val="20"/>
          <w:szCs w:val="20"/>
          <w:lang w:val="en-GB"/>
        </w:rPr>
      </w:pPr>
      <w:r w:rsidRPr="00A40755">
        <w:rPr>
          <w:rFonts w:ascii="Verdana" w:hAnsi="Verdana" w:cs="Arial"/>
          <w:b/>
          <w:bCs/>
          <w:sz w:val="20"/>
          <w:szCs w:val="20"/>
          <w:lang w:val="en-GB"/>
        </w:rPr>
        <w:t xml:space="preserve">Data-driven real estate </w:t>
      </w:r>
    </w:p>
    <w:p w14:paraId="4268E5EC" w14:textId="6BCDAA16" w:rsidR="00254D81" w:rsidRPr="00A40755" w:rsidRDefault="00254D81" w:rsidP="00254D81">
      <w:pPr>
        <w:spacing w:line="360" w:lineRule="auto"/>
        <w:rPr>
          <w:rFonts w:ascii="Verdana" w:hAnsi="Verdana" w:cs="Arial"/>
          <w:sz w:val="20"/>
          <w:szCs w:val="20"/>
          <w:lang w:val="en-GB"/>
        </w:rPr>
      </w:pPr>
      <w:r w:rsidRPr="00A40755">
        <w:rPr>
          <w:rFonts w:ascii="Verdana" w:hAnsi="Verdana" w:cs="Arial"/>
          <w:sz w:val="20"/>
          <w:szCs w:val="20"/>
          <w:lang w:val="en-GB"/>
        </w:rPr>
        <w:t xml:space="preserve">The business delivered strong growth in its real estate business, with </w:t>
      </w:r>
      <w:r w:rsidR="00A7236C" w:rsidRPr="00A40755">
        <w:rPr>
          <w:rFonts w:ascii="Verdana" w:hAnsi="Verdana" w:cs="Arial"/>
          <w:sz w:val="20"/>
          <w:szCs w:val="20"/>
          <w:lang w:val="en-GB"/>
        </w:rPr>
        <w:t xml:space="preserve">net </w:t>
      </w:r>
      <w:r w:rsidRPr="00A40755">
        <w:rPr>
          <w:rFonts w:ascii="Verdana" w:hAnsi="Verdana" w:cs="Arial"/>
          <w:sz w:val="20"/>
          <w:szCs w:val="20"/>
          <w:lang w:val="en-GB"/>
        </w:rPr>
        <w:t>revenue climbing 19 percent to £404m, driven by demand from the high-tech and life sciences sectors</w:t>
      </w:r>
      <w:r w:rsidR="00880D06" w:rsidRPr="00A40755">
        <w:rPr>
          <w:rFonts w:ascii="Verdana" w:hAnsi="Verdana" w:cs="Arial"/>
          <w:sz w:val="20"/>
          <w:szCs w:val="20"/>
          <w:lang w:val="en-GB"/>
        </w:rPr>
        <w:t>.</w:t>
      </w:r>
      <w:r w:rsidR="00B87E04" w:rsidRPr="00A40755">
        <w:rPr>
          <w:rFonts w:ascii="Verdana" w:hAnsi="Verdana" w:cs="Arial"/>
          <w:sz w:val="20"/>
          <w:szCs w:val="20"/>
          <w:lang w:val="en-GB"/>
        </w:rPr>
        <w:t xml:space="preserve"> </w:t>
      </w:r>
      <w:r w:rsidRPr="00A40755">
        <w:rPr>
          <w:rFonts w:ascii="Verdana" w:hAnsi="Verdana" w:cs="Arial"/>
          <w:sz w:val="20"/>
          <w:szCs w:val="20"/>
          <w:lang w:val="en-GB"/>
        </w:rPr>
        <w:t xml:space="preserve">It acquired Taurus Project </w:t>
      </w:r>
      <w:r w:rsidR="00A7236C" w:rsidRPr="00A40755">
        <w:rPr>
          <w:rFonts w:ascii="Verdana" w:hAnsi="Verdana" w:cs="Arial"/>
          <w:sz w:val="20"/>
          <w:szCs w:val="20"/>
          <w:lang w:val="en-GB"/>
        </w:rPr>
        <w:t xml:space="preserve">Controls </w:t>
      </w:r>
      <w:r w:rsidRPr="00A40755">
        <w:rPr>
          <w:rFonts w:ascii="Verdana" w:hAnsi="Verdana" w:cs="Arial"/>
          <w:sz w:val="20"/>
          <w:szCs w:val="20"/>
          <w:lang w:val="en-GB"/>
        </w:rPr>
        <w:t>Consulting in Boston and has also invested significantly in expanding its portfolio management capability across regional and global programs, including the launch of new technology platform (PACE) to</w:t>
      </w:r>
      <w:r w:rsidRPr="00A40755">
        <w:rPr>
          <w:rFonts w:ascii="Verdana" w:hAnsi="Verdana"/>
          <w:sz w:val="20"/>
          <w:szCs w:val="20"/>
        </w:rPr>
        <w:t xml:space="preserve"> enable clients to monitor progress and data on their real estate portfolios in real time.</w:t>
      </w:r>
    </w:p>
    <w:p w14:paraId="4D495F95" w14:textId="77777777" w:rsidR="00254D81" w:rsidRPr="00A40755" w:rsidRDefault="00254D81" w:rsidP="00254D81">
      <w:pPr>
        <w:spacing w:line="360" w:lineRule="auto"/>
        <w:rPr>
          <w:rFonts w:ascii="Verdana" w:hAnsi="Verdana" w:cs="Arial"/>
          <w:b/>
          <w:bCs/>
          <w:sz w:val="20"/>
          <w:szCs w:val="20"/>
          <w:lang w:val="en-GB"/>
        </w:rPr>
      </w:pPr>
    </w:p>
    <w:p w14:paraId="12E4B099" w14:textId="4C02FA6A" w:rsidR="00254D81" w:rsidRPr="00A40755" w:rsidRDefault="00254D81" w:rsidP="00254D81">
      <w:pPr>
        <w:spacing w:line="360" w:lineRule="auto"/>
        <w:rPr>
          <w:rFonts w:ascii="Verdana" w:hAnsi="Verdana" w:cs="Arial"/>
          <w:b/>
          <w:bCs/>
          <w:sz w:val="20"/>
          <w:szCs w:val="20"/>
          <w:lang w:val="en-GB"/>
        </w:rPr>
      </w:pPr>
      <w:r w:rsidRPr="00A40755">
        <w:rPr>
          <w:rFonts w:ascii="Verdana" w:hAnsi="Verdana" w:cs="Arial"/>
          <w:b/>
          <w:bCs/>
          <w:sz w:val="20"/>
          <w:szCs w:val="20"/>
          <w:lang w:val="en-GB"/>
        </w:rPr>
        <w:t xml:space="preserve">Driving performance on complex infrastructure programs  </w:t>
      </w:r>
    </w:p>
    <w:p w14:paraId="6A578C69" w14:textId="44B75CFE" w:rsidR="00254D81" w:rsidRPr="00A40755" w:rsidRDefault="00254D81" w:rsidP="00254D81">
      <w:pPr>
        <w:spacing w:line="360" w:lineRule="auto"/>
        <w:rPr>
          <w:rFonts w:ascii="Verdana" w:hAnsi="Verdana" w:cs="Arial"/>
          <w:sz w:val="20"/>
          <w:szCs w:val="20"/>
          <w:lang w:val="en-GB"/>
        </w:rPr>
      </w:pPr>
      <w:r w:rsidRPr="00A40755">
        <w:rPr>
          <w:rFonts w:ascii="Verdana" w:hAnsi="Verdana" w:cs="Arial"/>
          <w:sz w:val="20"/>
          <w:szCs w:val="20"/>
          <w:lang w:val="en-GB"/>
        </w:rPr>
        <w:t xml:space="preserve">Infrastructure </w:t>
      </w:r>
      <w:r w:rsidR="00A7236C" w:rsidRPr="00A40755">
        <w:rPr>
          <w:rFonts w:ascii="Verdana" w:hAnsi="Verdana" w:cs="Arial"/>
          <w:sz w:val="20"/>
          <w:szCs w:val="20"/>
          <w:lang w:val="en-GB"/>
        </w:rPr>
        <w:t xml:space="preserve">net </w:t>
      </w:r>
      <w:r w:rsidRPr="00A40755">
        <w:rPr>
          <w:rFonts w:ascii="Verdana" w:hAnsi="Verdana" w:cs="Arial"/>
          <w:sz w:val="20"/>
          <w:szCs w:val="20"/>
          <w:lang w:val="en-GB"/>
        </w:rPr>
        <w:t xml:space="preserve">revenue rose 15 percent to £206m, with robust growth in the UK, North America, the Middle East, Asia and Australia. </w:t>
      </w:r>
      <w:r w:rsidR="00A16FAD" w:rsidRPr="00A40755">
        <w:rPr>
          <w:rFonts w:ascii="Verdana" w:hAnsi="Verdana" w:cs="Arial"/>
          <w:sz w:val="20"/>
          <w:szCs w:val="20"/>
          <w:lang w:val="en-GB"/>
        </w:rPr>
        <w:t xml:space="preserve">Continuing its success in rail, Turner &amp; Townsend has been appointed to </w:t>
      </w:r>
      <w:r w:rsidR="00BC59C7" w:rsidRPr="00A40755">
        <w:rPr>
          <w:rFonts w:ascii="Verdana" w:hAnsi="Verdana" w:cs="Arial"/>
          <w:sz w:val="20"/>
          <w:szCs w:val="20"/>
          <w:lang w:val="en-GB"/>
        </w:rPr>
        <w:t xml:space="preserve">the </w:t>
      </w:r>
      <w:r w:rsidR="00A16FAD" w:rsidRPr="00A40755">
        <w:rPr>
          <w:rFonts w:ascii="Verdana" w:hAnsi="Verdana" w:cs="Arial"/>
          <w:sz w:val="20"/>
          <w:szCs w:val="20"/>
          <w:lang w:val="en-GB"/>
        </w:rPr>
        <w:t xml:space="preserve">Sydney Inland Rail </w:t>
      </w:r>
      <w:r w:rsidR="00BC59C7" w:rsidRPr="00A40755">
        <w:rPr>
          <w:rFonts w:ascii="Verdana" w:hAnsi="Verdana" w:cs="Arial"/>
          <w:sz w:val="20"/>
          <w:szCs w:val="20"/>
          <w:lang w:val="en-GB"/>
        </w:rPr>
        <w:t xml:space="preserve">project </w:t>
      </w:r>
      <w:r w:rsidR="00A16FAD" w:rsidRPr="00A40755">
        <w:rPr>
          <w:rFonts w:ascii="Verdana" w:hAnsi="Verdana" w:cs="Arial"/>
          <w:sz w:val="20"/>
          <w:szCs w:val="20"/>
          <w:lang w:val="en-GB"/>
        </w:rPr>
        <w:t xml:space="preserve">and </w:t>
      </w:r>
      <w:r w:rsidR="00BC59C7" w:rsidRPr="00A40755">
        <w:rPr>
          <w:rFonts w:ascii="Verdana" w:hAnsi="Verdana" w:cs="Arial"/>
          <w:sz w:val="20"/>
          <w:szCs w:val="20"/>
          <w:lang w:val="en-GB"/>
        </w:rPr>
        <w:t xml:space="preserve">to </w:t>
      </w:r>
      <w:r w:rsidR="00A16FAD" w:rsidRPr="00A40755">
        <w:rPr>
          <w:rFonts w:ascii="Verdana" w:hAnsi="Verdana" w:cs="Arial"/>
          <w:sz w:val="20"/>
          <w:szCs w:val="20"/>
          <w:lang w:val="en-GB"/>
        </w:rPr>
        <w:t xml:space="preserve">New Zealand’s largest </w:t>
      </w:r>
      <w:r w:rsidR="00DF1B4B" w:rsidRPr="00A40755">
        <w:rPr>
          <w:rFonts w:ascii="Verdana" w:hAnsi="Verdana" w:cs="Arial"/>
          <w:sz w:val="20"/>
          <w:szCs w:val="20"/>
          <w:lang w:val="en-GB"/>
        </w:rPr>
        <w:t xml:space="preserve">transport </w:t>
      </w:r>
      <w:r w:rsidR="00A16FAD" w:rsidRPr="00A40755">
        <w:rPr>
          <w:rFonts w:ascii="Verdana" w:hAnsi="Verdana" w:cs="Arial"/>
          <w:sz w:val="20"/>
          <w:szCs w:val="20"/>
          <w:lang w:val="en-GB"/>
        </w:rPr>
        <w:t>infrastructure project, City Rail</w:t>
      </w:r>
      <w:r w:rsidR="00DF1B4B" w:rsidRPr="00A40755">
        <w:rPr>
          <w:rFonts w:ascii="Verdana" w:hAnsi="Verdana" w:cs="Arial"/>
          <w:sz w:val="20"/>
          <w:szCs w:val="20"/>
          <w:lang w:val="en-GB"/>
        </w:rPr>
        <w:t xml:space="preserve"> Link</w:t>
      </w:r>
      <w:r w:rsidR="00A16FAD" w:rsidRPr="00A40755">
        <w:rPr>
          <w:rFonts w:ascii="Verdana" w:hAnsi="Verdana" w:cs="Arial"/>
          <w:sz w:val="20"/>
          <w:szCs w:val="20"/>
          <w:lang w:val="en-GB"/>
        </w:rPr>
        <w:t xml:space="preserve">. </w:t>
      </w:r>
    </w:p>
    <w:p w14:paraId="3BB28624" w14:textId="77777777" w:rsidR="00254D81" w:rsidRPr="00A40755" w:rsidRDefault="00254D81" w:rsidP="00254D81">
      <w:pPr>
        <w:spacing w:line="360" w:lineRule="auto"/>
        <w:rPr>
          <w:rFonts w:ascii="Verdana" w:hAnsi="Verdana" w:cs="Arial"/>
          <w:sz w:val="20"/>
          <w:szCs w:val="20"/>
          <w:lang w:val="en-GB"/>
        </w:rPr>
      </w:pPr>
    </w:p>
    <w:p w14:paraId="4AD0DF6E" w14:textId="7A442EB0" w:rsidR="00254D81" w:rsidRPr="00A40755" w:rsidRDefault="00254D81" w:rsidP="00254D81">
      <w:pPr>
        <w:spacing w:line="360" w:lineRule="auto"/>
        <w:rPr>
          <w:rFonts w:ascii="Verdana" w:hAnsi="Verdana" w:cs="Arial"/>
          <w:b/>
          <w:bCs/>
          <w:sz w:val="20"/>
          <w:szCs w:val="20"/>
          <w:lang w:val="en-GB"/>
        </w:rPr>
      </w:pPr>
      <w:r w:rsidRPr="00A40755">
        <w:rPr>
          <w:rFonts w:ascii="Verdana" w:hAnsi="Verdana" w:cs="Arial"/>
          <w:b/>
          <w:bCs/>
          <w:sz w:val="20"/>
          <w:szCs w:val="20"/>
          <w:lang w:val="en-GB"/>
        </w:rPr>
        <w:t xml:space="preserve">Supporting </w:t>
      </w:r>
      <w:r w:rsidR="00BC59C7" w:rsidRPr="00A40755">
        <w:rPr>
          <w:rFonts w:ascii="Verdana" w:hAnsi="Verdana" w:cs="Arial"/>
          <w:b/>
          <w:bCs/>
          <w:sz w:val="20"/>
          <w:szCs w:val="20"/>
          <w:lang w:val="en-GB"/>
        </w:rPr>
        <w:t>carbon reduction</w:t>
      </w:r>
    </w:p>
    <w:p w14:paraId="4A185C52" w14:textId="294D880E" w:rsidR="00254D81" w:rsidRPr="00A40755" w:rsidRDefault="00254D81" w:rsidP="00254D81">
      <w:pPr>
        <w:spacing w:line="360" w:lineRule="auto"/>
        <w:rPr>
          <w:rFonts w:ascii="Verdana" w:hAnsi="Verdana" w:cs="Arial"/>
          <w:sz w:val="20"/>
          <w:szCs w:val="20"/>
          <w:lang w:val="en-GB"/>
        </w:rPr>
      </w:pPr>
      <w:r w:rsidRPr="00A40755">
        <w:rPr>
          <w:rFonts w:ascii="Verdana" w:hAnsi="Verdana" w:cs="Arial"/>
          <w:sz w:val="20"/>
          <w:szCs w:val="20"/>
          <w:lang w:val="en-GB"/>
        </w:rPr>
        <w:lastRenderedPageBreak/>
        <w:t xml:space="preserve">Despite a turbulent natural resources market and collapsing global energy prices, revenue hit £71m, up 16 percent on 2018-19. With a focus on supporting </w:t>
      </w:r>
      <w:r w:rsidR="00BC59C7" w:rsidRPr="00A40755">
        <w:rPr>
          <w:rFonts w:ascii="Verdana" w:hAnsi="Verdana" w:cs="Arial"/>
          <w:sz w:val="20"/>
          <w:szCs w:val="20"/>
          <w:lang w:val="en-GB"/>
        </w:rPr>
        <w:t xml:space="preserve">the low carbon </w:t>
      </w:r>
      <w:r w:rsidRPr="00A40755">
        <w:rPr>
          <w:rFonts w:ascii="Verdana" w:hAnsi="Verdana" w:cs="Arial"/>
          <w:sz w:val="20"/>
          <w:szCs w:val="20"/>
          <w:lang w:val="en-GB"/>
        </w:rPr>
        <w:t xml:space="preserve">transition, </w:t>
      </w:r>
      <w:r w:rsidR="006B7FE3" w:rsidRPr="00A40755">
        <w:rPr>
          <w:rFonts w:ascii="Verdana" w:hAnsi="Verdana" w:cs="Arial"/>
          <w:sz w:val="20"/>
          <w:szCs w:val="20"/>
          <w:lang w:val="en-GB"/>
        </w:rPr>
        <w:t>the consultancy</w:t>
      </w:r>
      <w:r w:rsidRPr="00A40755">
        <w:rPr>
          <w:rFonts w:ascii="Verdana" w:hAnsi="Verdana" w:cs="Arial"/>
          <w:sz w:val="20"/>
          <w:szCs w:val="20"/>
          <w:lang w:val="en-GB"/>
        </w:rPr>
        <w:t xml:space="preserve"> has successfully built market share in renewables</w:t>
      </w:r>
      <w:r w:rsidR="008C68B0" w:rsidRPr="00A40755">
        <w:rPr>
          <w:rFonts w:ascii="Verdana" w:hAnsi="Verdana" w:cs="Arial"/>
          <w:sz w:val="20"/>
          <w:szCs w:val="20"/>
          <w:lang w:val="en-GB"/>
        </w:rPr>
        <w:t xml:space="preserve"> and is</w:t>
      </w:r>
      <w:r w:rsidR="00336699" w:rsidRPr="00A40755">
        <w:rPr>
          <w:rFonts w:ascii="Verdana" w:hAnsi="Verdana" w:cs="Arial"/>
          <w:sz w:val="20"/>
          <w:szCs w:val="20"/>
          <w:lang w:val="en-GB"/>
        </w:rPr>
        <w:t xml:space="preserve"> </w:t>
      </w:r>
      <w:r w:rsidRPr="00A40755">
        <w:rPr>
          <w:rFonts w:ascii="Verdana" w:hAnsi="Verdana" w:cs="Arial"/>
          <w:sz w:val="20"/>
          <w:szCs w:val="20"/>
          <w:lang w:val="en-GB"/>
        </w:rPr>
        <w:t>working across a number of</w:t>
      </w:r>
      <w:r w:rsidR="00B87E04" w:rsidRPr="00A40755">
        <w:rPr>
          <w:rFonts w:ascii="Verdana" w:hAnsi="Verdana" w:cs="Arial"/>
          <w:sz w:val="20"/>
          <w:szCs w:val="20"/>
          <w:lang w:val="en-GB"/>
        </w:rPr>
        <w:t xml:space="preserve"> </w:t>
      </w:r>
      <w:r w:rsidRPr="00A40755">
        <w:rPr>
          <w:rFonts w:ascii="Verdana" w:hAnsi="Verdana" w:cs="Arial"/>
          <w:sz w:val="20"/>
          <w:szCs w:val="20"/>
          <w:lang w:val="en-GB"/>
        </w:rPr>
        <w:t>Liquefied Natural Gas (LNG) projects</w:t>
      </w:r>
      <w:r w:rsidR="007F232E" w:rsidRPr="00A40755">
        <w:rPr>
          <w:rFonts w:ascii="Verdana" w:hAnsi="Verdana" w:cs="Arial"/>
          <w:sz w:val="20"/>
          <w:szCs w:val="20"/>
          <w:lang w:val="en-GB"/>
        </w:rPr>
        <w:t xml:space="preserve">, including Freeport </w:t>
      </w:r>
      <w:r w:rsidR="008C68B0" w:rsidRPr="00A40755">
        <w:rPr>
          <w:rFonts w:ascii="Verdana" w:hAnsi="Verdana" w:cs="Arial"/>
          <w:sz w:val="20"/>
          <w:szCs w:val="20"/>
          <w:lang w:val="en-GB"/>
        </w:rPr>
        <w:t xml:space="preserve">LNG </w:t>
      </w:r>
      <w:r w:rsidR="007F232E" w:rsidRPr="00A40755">
        <w:rPr>
          <w:rFonts w:ascii="Verdana" w:hAnsi="Verdana" w:cs="Arial"/>
          <w:sz w:val="20"/>
          <w:szCs w:val="20"/>
          <w:lang w:val="en-GB"/>
        </w:rPr>
        <w:t xml:space="preserve">in Canada – the second largest LNG facility in </w:t>
      </w:r>
      <w:r w:rsidR="00B87E04" w:rsidRPr="00A40755">
        <w:rPr>
          <w:rFonts w:ascii="Verdana" w:hAnsi="Verdana" w:cs="Arial"/>
          <w:sz w:val="20"/>
          <w:szCs w:val="20"/>
          <w:lang w:val="en-GB"/>
        </w:rPr>
        <w:t>North America</w:t>
      </w:r>
      <w:r w:rsidR="007F232E" w:rsidRPr="00A40755">
        <w:rPr>
          <w:rFonts w:ascii="Verdana" w:hAnsi="Verdana" w:cs="Arial"/>
          <w:sz w:val="20"/>
          <w:szCs w:val="20"/>
          <w:lang w:val="en-GB"/>
        </w:rPr>
        <w:t xml:space="preserve">. </w:t>
      </w:r>
      <w:r w:rsidR="00336699" w:rsidRPr="00A40755">
        <w:rPr>
          <w:rFonts w:ascii="Verdana" w:hAnsi="Verdana" w:cs="Arial"/>
          <w:sz w:val="20"/>
          <w:szCs w:val="20"/>
          <w:lang w:val="en-GB"/>
        </w:rPr>
        <w:t>Turner &amp; Townsend</w:t>
      </w:r>
      <w:r w:rsidR="007F232E" w:rsidRPr="00A40755">
        <w:rPr>
          <w:rFonts w:ascii="Verdana" w:hAnsi="Verdana" w:cs="Arial"/>
          <w:sz w:val="20"/>
          <w:szCs w:val="20"/>
          <w:lang w:val="en-GB"/>
        </w:rPr>
        <w:t xml:space="preserve"> has also i</w:t>
      </w:r>
      <w:r w:rsidRPr="00A40755">
        <w:rPr>
          <w:rFonts w:ascii="Verdana" w:hAnsi="Verdana" w:cs="Arial"/>
          <w:sz w:val="20"/>
          <w:szCs w:val="20"/>
          <w:lang w:val="en-GB"/>
        </w:rPr>
        <w:t>nvest</w:t>
      </w:r>
      <w:r w:rsidR="007F232E" w:rsidRPr="00A40755">
        <w:rPr>
          <w:rFonts w:ascii="Verdana" w:hAnsi="Verdana" w:cs="Arial"/>
          <w:sz w:val="20"/>
          <w:szCs w:val="20"/>
          <w:lang w:val="en-GB"/>
        </w:rPr>
        <w:t>ed</w:t>
      </w:r>
      <w:r w:rsidRPr="00A40755">
        <w:rPr>
          <w:rFonts w:ascii="Verdana" w:hAnsi="Verdana" w:cs="Arial"/>
          <w:sz w:val="20"/>
          <w:szCs w:val="20"/>
          <w:lang w:val="en-GB"/>
        </w:rPr>
        <w:t xml:space="preserve"> in a program management proposition for mine closure and rehabilitation</w:t>
      </w:r>
      <w:r w:rsidR="007F232E" w:rsidRPr="00A40755">
        <w:rPr>
          <w:rFonts w:ascii="Verdana" w:hAnsi="Verdana" w:cs="Arial"/>
          <w:sz w:val="20"/>
          <w:szCs w:val="20"/>
          <w:lang w:val="en-GB"/>
        </w:rPr>
        <w:t xml:space="preserve">, and is currently working for De Beers to rehabilitate former mining sites worldwide to support their future land use. </w:t>
      </w:r>
    </w:p>
    <w:p w14:paraId="239A9C11" w14:textId="77777777" w:rsidR="00254D81" w:rsidRPr="00A40755" w:rsidRDefault="00254D81" w:rsidP="00254D81">
      <w:pPr>
        <w:spacing w:line="360" w:lineRule="auto"/>
        <w:rPr>
          <w:rFonts w:ascii="Verdana" w:hAnsi="Verdana" w:cs="Arial"/>
          <w:sz w:val="20"/>
          <w:szCs w:val="20"/>
          <w:lang w:val="en-GB"/>
        </w:rPr>
      </w:pPr>
    </w:p>
    <w:p w14:paraId="7D620FB0" w14:textId="6FE017A0" w:rsidR="00254D81" w:rsidRPr="00A40755" w:rsidRDefault="002F3F6A" w:rsidP="00254D81">
      <w:pPr>
        <w:spacing w:line="360" w:lineRule="auto"/>
        <w:rPr>
          <w:rFonts w:ascii="Verdana" w:hAnsi="Verdana" w:cs="Arial"/>
          <w:sz w:val="20"/>
          <w:szCs w:val="20"/>
          <w:lang w:val="en-GB"/>
        </w:rPr>
      </w:pPr>
      <w:r w:rsidRPr="00A40755">
        <w:rPr>
          <w:rFonts w:ascii="Verdana" w:hAnsi="Verdana" w:cs="Arial"/>
          <w:sz w:val="20"/>
          <w:szCs w:val="20"/>
          <w:lang w:val="en-GB"/>
        </w:rPr>
        <w:t xml:space="preserve">Turner &amp; Townsend </w:t>
      </w:r>
      <w:r w:rsidR="00254D81" w:rsidRPr="00A40755">
        <w:rPr>
          <w:rFonts w:ascii="Verdana" w:hAnsi="Verdana" w:cs="Arial"/>
          <w:sz w:val="20"/>
          <w:szCs w:val="20"/>
          <w:lang w:val="en-GB"/>
        </w:rPr>
        <w:t>has committed to reducing its own environmental impact – setting and meeting internal targets for carbon reduction and ensuring that sustainability</w:t>
      </w:r>
      <w:r w:rsidRPr="00A40755">
        <w:rPr>
          <w:rFonts w:ascii="Verdana" w:hAnsi="Verdana" w:cs="Arial"/>
          <w:sz w:val="20"/>
          <w:szCs w:val="20"/>
          <w:lang w:val="en-GB"/>
        </w:rPr>
        <w:t xml:space="preserve"> and social value</w:t>
      </w:r>
      <w:r w:rsidR="00254D81" w:rsidRPr="00A40755">
        <w:rPr>
          <w:rFonts w:ascii="Verdana" w:hAnsi="Verdana" w:cs="Arial"/>
          <w:sz w:val="20"/>
          <w:szCs w:val="20"/>
          <w:lang w:val="en-GB"/>
        </w:rPr>
        <w:t xml:space="preserve"> principles are actively embedded in its working culture. Targets set in 2015 to cut carbon emissions per employee by 25 percent have already been met.</w:t>
      </w:r>
    </w:p>
    <w:p w14:paraId="49097DD6" w14:textId="77777777" w:rsidR="00254D81" w:rsidRPr="00A40755" w:rsidRDefault="00254D81" w:rsidP="00447546">
      <w:pPr>
        <w:spacing w:line="360" w:lineRule="auto"/>
        <w:rPr>
          <w:rFonts w:ascii="Verdana" w:hAnsi="Verdana" w:cs="Arial"/>
          <w:sz w:val="20"/>
          <w:szCs w:val="20"/>
          <w:lang w:val="en-GB"/>
        </w:rPr>
      </w:pPr>
    </w:p>
    <w:p w14:paraId="24174C56" w14:textId="00717294" w:rsidR="00F32D10" w:rsidRPr="00A40755" w:rsidRDefault="00F32D10" w:rsidP="00F32D10">
      <w:pPr>
        <w:spacing w:line="360" w:lineRule="auto"/>
        <w:rPr>
          <w:rFonts w:ascii="Verdana" w:hAnsi="Verdana" w:cs="Arial"/>
          <w:b/>
          <w:sz w:val="20"/>
          <w:szCs w:val="20"/>
          <w:lang w:val="en-GB"/>
        </w:rPr>
      </w:pPr>
      <w:r w:rsidRPr="00A40755">
        <w:rPr>
          <w:rFonts w:ascii="Verdana" w:hAnsi="Verdana" w:cs="Arial"/>
          <w:b/>
          <w:sz w:val="20"/>
          <w:szCs w:val="20"/>
          <w:lang w:val="en-GB"/>
        </w:rPr>
        <w:t>Vincent Clancy, Chairman and CEO at Turner &amp; Townsend said:</w:t>
      </w:r>
    </w:p>
    <w:p w14:paraId="0465A53C" w14:textId="4AD0792E" w:rsidR="00254D81" w:rsidRPr="00A40755" w:rsidRDefault="00254D81" w:rsidP="00F32D10">
      <w:pPr>
        <w:spacing w:line="360" w:lineRule="auto"/>
        <w:rPr>
          <w:rFonts w:ascii="Verdana" w:hAnsi="Verdana" w:cs="Arial"/>
          <w:bCs/>
          <w:sz w:val="20"/>
          <w:szCs w:val="20"/>
          <w:lang w:val="en-GB"/>
        </w:rPr>
      </w:pPr>
      <w:r w:rsidRPr="00A40755">
        <w:rPr>
          <w:rFonts w:ascii="Verdana" w:hAnsi="Verdana" w:cs="Arial"/>
          <w:bCs/>
          <w:i/>
          <w:iCs/>
          <w:sz w:val="20"/>
          <w:szCs w:val="20"/>
          <w:lang w:val="en-GB"/>
        </w:rPr>
        <w:t>“While we</w:t>
      </w:r>
      <w:r w:rsidR="008513A3" w:rsidRPr="00A40755">
        <w:rPr>
          <w:rFonts w:ascii="Verdana" w:hAnsi="Verdana" w:cs="Arial"/>
          <w:bCs/>
          <w:i/>
          <w:iCs/>
          <w:sz w:val="20"/>
          <w:szCs w:val="20"/>
          <w:lang w:val="en-GB"/>
        </w:rPr>
        <w:t xml:space="preserve"> continue</w:t>
      </w:r>
      <w:r w:rsidRPr="00A40755">
        <w:rPr>
          <w:rFonts w:ascii="Verdana" w:hAnsi="Verdana" w:cs="Arial"/>
          <w:bCs/>
          <w:i/>
          <w:iCs/>
          <w:sz w:val="20"/>
          <w:szCs w:val="20"/>
          <w:lang w:val="en-GB"/>
        </w:rPr>
        <w:t xml:space="preserve">, like the rest of the industry, to feel the </w:t>
      </w:r>
      <w:r w:rsidR="00AC0299" w:rsidRPr="00A40755">
        <w:rPr>
          <w:rFonts w:ascii="Verdana" w:hAnsi="Verdana" w:cs="Arial"/>
          <w:bCs/>
          <w:i/>
          <w:iCs/>
          <w:sz w:val="20"/>
          <w:szCs w:val="20"/>
          <w:lang w:val="en-GB"/>
        </w:rPr>
        <w:t>impact of COVID-19</w:t>
      </w:r>
      <w:r w:rsidRPr="00A40755">
        <w:rPr>
          <w:rFonts w:ascii="Verdana" w:hAnsi="Verdana" w:cs="Arial"/>
          <w:bCs/>
          <w:i/>
          <w:iCs/>
          <w:sz w:val="20"/>
          <w:szCs w:val="20"/>
          <w:lang w:val="en-GB"/>
        </w:rPr>
        <w:t xml:space="preserve">, our financial </w:t>
      </w:r>
      <w:r w:rsidR="002F3F6A" w:rsidRPr="00A40755">
        <w:rPr>
          <w:rFonts w:ascii="Verdana" w:hAnsi="Verdana" w:cs="Arial"/>
          <w:bCs/>
          <w:i/>
          <w:iCs/>
          <w:sz w:val="20"/>
          <w:szCs w:val="20"/>
          <w:lang w:val="en-GB"/>
        </w:rPr>
        <w:t>performance</w:t>
      </w:r>
      <w:r w:rsidRPr="00A40755">
        <w:rPr>
          <w:rFonts w:ascii="Verdana" w:hAnsi="Verdana" w:cs="Arial"/>
          <w:bCs/>
          <w:i/>
          <w:iCs/>
          <w:sz w:val="20"/>
          <w:szCs w:val="20"/>
          <w:lang w:val="en-GB"/>
        </w:rPr>
        <w:t xml:space="preserve"> and</w:t>
      </w:r>
      <w:r w:rsidR="002F3F6A" w:rsidRPr="00A40755">
        <w:rPr>
          <w:rFonts w:ascii="Verdana" w:hAnsi="Verdana" w:cs="Arial"/>
          <w:bCs/>
          <w:i/>
          <w:iCs/>
          <w:sz w:val="20"/>
          <w:szCs w:val="20"/>
          <w:lang w:val="en-GB"/>
        </w:rPr>
        <w:t xml:space="preserve"> </w:t>
      </w:r>
      <w:r w:rsidR="006B7FE3" w:rsidRPr="00A40755">
        <w:rPr>
          <w:rFonts w:ascii="Verdana" w:hAnsi="Verdana" w:cs="Arial"/>
          <w:bCs/>
          <w:i/>
          <w:iCs/>
          <w:sz w:val="20"/>
          <w:szCs w:val="20"/>
          <w:lang w:val="en-GB"/>
        </w:rPr>
        <w:t xml:space="preserve">business </w:t>
      </w:r>
      <w:r w:rsidR="002F3F6A" w:rsidRPr="00A40755">
        <w:rPr>
          <w:rFonts w:ascii="Verdana" w:hAnsi="Verdana" w:cs="Arial"/>
          <w:bCs/>
          <w:i/>
          <w:iCs/>
          <w:sz w:val="20"/>
          <w:szCs w:val="20"/>
          <w:lang w:val="en-GB"/>
        </w:rPr>
        <w:t>model</w:t>
      </w:r>
      <w:r w:rsidR="00B87E04" w:rsidRPr="00A40755">
        <w:rPr>
          <w:rFonts w:ascii="Verdana" w:hAnsi="Verdana" w:cs="Arial"/>
          <w:bCs/>
          <w:i/>
          <w:iCs/>
          <w:sz w:val="20"/>
          <w:szCs w:val="20"/>
          <w:lang w:val="en-GB"/>
        </w:rPr>
        <w:t xml:space="preserve"> </w:t>
      </w:r>
      <w:r w:rsidR="00697E58" w:rsidRPr="00A40755">
        <w:rPr>
          <w:rFonts w:ascii="Verdana" w:hAnsi="Verdana" w:cs="Arial"/>
          <w:bCs/>
          <w:i/>
          <w:iCs/>
          <w:sz w:val="20"/>
          <w:szCs w:val="20"/>
          <w:lang w:val="en-GB"/>
        </w:rPr>
        <w:t xml:space="preserve">stand us in good stead to withstand the economic </w:t>
      </w:r>
      <w:r w:rsidR="00B87E04" w:rsidRPr="00A40755">
        <w:rPr>
          <w:rFonts w:ascii="Verdana" w:hAnsi="Verdana" w:cs="Arial"/>
          <w:bCs/>
          <w:i/>
          <w:iCs/>
          <w:sz w:val="20"/>
          <w:szCs w:val="20"/>
          <w:lang w:val="en-GB"/>
        </w:rPr>
        <w:t>aftershocks</w:t>
      </w:r>
      <w:r w:rsidR="00697E58" w:rsidRPr="00A40755">
        <w:rPr>
          <w:rFonts w:ascii="Verdana" w:hAnsi="Verdana" w:cs="Arial"/>
          <w:bCs/>
          <w:i/>
          <w:iCs/>
          <w:sz w:val="20"/>
          <w:szCs w:val="20"/>
          <w:lang w:val="en-GB"/>
        </w:rPr>
        <w:t>.</w:t>
      </w:r>
      <w:r w:rsidRPr="00A40755">
        <w:rPr>
          <w:rFonts w:ascii="Verdana" w:hAnsi="Verdana" w:cs="Arial"/>
          <w:bCs/>
          <w:i/>
          <w:iCs/>
          <w:sz w:val="20"/>
          <w:szCs w:val="20"/>
          <w:lang w:val="en-GB"/>
        </w:rPr>
        <w:t xml:space="preserve"> </w:t>
      </w:r>
      <w:r w:rsidR="007663D5" w:rsidRPr="00A40755">
        <w:rPr>
          <w:rFonts w:ascii="Verdana" w:hAnsi="Verdana" w:cs="Arial"/>
          <w:bCs/>
          <w:i/>
          <w:iCs/>
          <w:sz w:val="20"/>
          <w:szCs w:val="20"/>
          <w:lang w:val="en-GB"/>
        </w:rPr>
        <w:t xml:space="preserve">Resilience has been the hallmark of our business over the last 74 years and this, combined with the solid platform we have created, makes me confident that we will emerge even stronger. </w:t>
      </w:r>
    </w:p>
    <w:p w14:paraId="78C4F947" w14:textId="77777777" w:rsidR="008513A3" w:rsidRPr="00A40755" w:rsidRDefault="008513A3" w:rsidP="00F32D10">
      <w:pPr>
        <w:spacing w:line="360" w:lineRule="auto"/>
        <w:rPr>
          <w:rFonts w:ascii="Verdana" w:hAnsi="Verdana" w:cs="Arial"/>
          <w:bCs/>
          <w:i/>
          <w:iCs/>
          <w:sz w:val="20"/>
          <w:szCs w:val="20"/>
          <w:lang w:val="en-GB"/>
        </w:rPr>
      </w:pPr>
    </w:p>
    <w:p w14:paraId="50E638DA" w14:textId="60877A71" w:rsidR="007663D5" w:rsidRPr="00A40755" w:rsidRDefault="005F526B" w:rsidP="00F32D10">
      <w:pPr>
        <w:spacing w:line="360" w:lineRule="auto"/>
        <w:rPr>
          <w:rFonts w:ascii="Verdana" w:hAnsi="Verdana" w:cs="Arial"/>
          <w:bCs/>
          <w:i/>
          <w:iCs/>
          <w:sz w:val="20"/>
          <w:szCs w:val="20"/>
          <w:lang w:val="en-GB"/>
        </w:rPr>
      </w:pPr>
      <w:r w:rsidRPr="00A40755">
        <w:rPr>
          <w:rFonts w:ascii="Verdana" w:hAnsi="Verdana" w:cs="Arial"/>
          <w:bCs/>
          <w:i/>
          <w:iCs/>
          <w:sz w:val="20"/>
          <w:szCs w:val="20"/>
          <w:lang w:val="en-GB"/>
        </w:rPr>
        <w:t>“</w:t>
      </w:r>
      <w:r w:rsidR="002F1762" w:rsidRPr="00A40755">
        <w:rPr>
          <w:rFonts w:ascii="Verdana" w:hAnsi="Verdana" w:cs="Arial"/>
          <w:bCs/>
          <w:i/>
          <w:iCs/>
          <w:sz w:val="20"/>
          <w:szCs w:val="20"/>
          <w:lang w:val="en-GB"/>
        </w:rPr>
        <w:t>As we transition from a health crisis to meet a growing economic challenge, the</w:t>
      </w:r>
      <w:r w:rsidR="008513A3" w:rsidRPr="00A40755">
        <w:rPr>
          <w:rFonts w:ascii="Verdana" w:hAnsi="Verdana" w:cs="Arial"/>
          <w:bCs/>
          <w:i/>
          <w:iCs/>
          <w:sz w:val="20"/>
          <w:szCs w:val="20"/>
          <w:lang w:val="en-GB"/>
        </w:rPr>
        <w:t xml:space="preserve"> </w:t>
      </w:r>
      <w:r w:rsidR="002F1762" w:rsidRPr="00A40755">
        <w:rPr>
          <w:rFonts w:ascii="Verdana" w:hAnsi="Verdana" w:cs="Arial"/>
          <w:bCs/>
          <w:i/>
          <w:iCs/>
          <w:sz w:val="20"/>
          <w:szCs w:val="20"/>
          <w:lang w:val="en-GB"/>
        </w:rPr>
        <w:t xml:space="preserve">world needs to embrace a zero-carbon future, to transform cities and to create better living standards. </w:t>
      </w:r>
      <w:r w:rsidR="007663D5" w:rsidRPr="00A40755">
        <w:rPr>
          <w:rFonts w:ascii="Verdana" w:hAnsi="Verdana" w:cs="Arial"/>
          <w:bCs/>
          <w:i/>
          <w:iCs/>
          <w:sz w:val="20"/>
          <w:szCs w:val="20"/>
          <w:lang w:val="en-GB"/>
        </w:rPr>
        <w:t>Our industry is fundamental to solving the social and economic inequalities highlighted by the C</w:t>
      </w:r>
      <w:r w:rsidR="008513A3" w:rsidRPr="00A40755">
        <w:rPr>
          <w:rFonts w:ascii="Verdana" w:hAnsi="Verdana" w:cs="Arial"/>
          <w:bCs/>
          <w:i/>
          <w:iCs/>
          <w:sz w:val="20"/>
          <w:szCs w:val="20"/>
          <w:lang w:val="en-GB"/>
        </w:rPr>
        <w:t>OVID</w:t>
      </w:r>
      <w:r w:rsidR="007663D5" w:rsidRPr="00A40755">
        <w:rPr>
          <w:rFonts w:ascii="Verdana" w:hAnsi="Verdana" w:cs="Arial"/>
          <w:bCs/>
          <w:i/>
          <w:iCs/>
          <w:sz w:val="20"/>
          <w:szCs w:val="20"/>
          <w:lang w:val="en-GB"/>
        </w:rPr>
        <w:t>-19 crisis, but in the past has too often been part of the problem. We now have an exciting opportunity to drive change and to build back better.”</w:t>
      </w:r>
    </w:p>
    <w:p w14:paraId="219076F1" w14:textId="2FB33114" w:rsidR="002F1762" w:rsidRPr="00A40755" w:rsidRDefault="002F1762" w:rsidP="00F32D10">
      <w:pPr>
        <w:spacing w:line="360" w:lineRule="auto"/>
        <w:rPr>
          <w:rFonts w:ascii="Verdana" w:hAnsi="Verdana" w:cs="Arial"/>
          <w:bCs/>
          <w:i/>
          <w:iCs/>
          <w:sz w:val="20"/>
          <w:szCs w:val="20"/>
          <w:lang w:val="en-GB"/>
        </w:rPr>
      </w:pPr>
    </w:p>
    <w:p w14:paraId="3F1CAD7B" w14:textId="7061D07C" w:rsidR="00E22BD5" w:rsidRPr="00A40755" w:rsidRDefault="00E22BD5" w:rsidP="00E22BD5">
      <w:pPr>
        <w:spacing w:line="360" w:lineRule="auto"/>
        <w:rPr>
          <w:rFonts w:ascii="Verdana" w:hAnsi="Verdana" w:cs="Arial"/>
          <w:sz w:val="20"/>
          <w:szCs w:val="20"/>
          <w:lang w:val="en-GB"/>
        </w:rPr>
      </w:pPr>
      <w:r w:rsidRPr="00A40755">
        <w:rPr>
          <w:rFonts w:ascii="Verdana" w:hAnsi="Verdana" w:cs="Arial"/>
          <w:sz w:val="20"/>
          <w:szCs w:val="20"/>
          <w:lang w:val="en-GB"/>
        </w:rPr>
        <w:t xml:space="preserve">Turner &amp; Townsend’s full company results for </w:t>
      </w:r>
      <w:r w:rsidR="00D969D5" w:rsidRPr="00A40755">
        <w:rPr>
          <w:rFonts w:ascii="Verdana" w:hAnsi="Verdana" w:cs="Arial"/>
          <w:sz w:val="20"/>
          <w:szCs w:val="20"/>
          <w:lang w:val="en-GB"/>
        </w:rPr>
        <w:t>201</w:t>
      </w:r>
      <w:r w:rsidR="0085727E" w:rsidRPr="00A40755">
        <w:rPr>
          <w:rFonts w:ascii="Verdana" w:hAnsi="Verdana" w:cs="Arial"/>
          <w:sz w:val="20"/>
          <w:szCs w:val="20"/>
          <w:lang w:val="en-GB"/>
        </w:rPr>
        <w:t>9</w:t>
      </w:r>
      <w:r w:rsidR="000B50CA" w:rsidRPr="00A40755">
        <w:rPr>
          <w:rFonts w:ascii="Verdana" w:hAnsi="Verdana" w:cs="Arial"/>
          <w:sz w:val="20"/>
          <w:szCs w:val="20"/>
          <w:lang w:val="en-GB"/>
        </w:rPr>
        <w:t>-20</w:t>
      </w:r>
      <w:r w:rsidRPr="00A40755">
        <w:rPr>
          <w:rFonts w:ascii="Verdana" w:hAnsi="Verdana" w:cs="Arial"/>
          <w:sz w:val="20"/>
          <w:szCs w:val="20"/>
          <w:lang w:val="en-GB"/>
        </w:rPr>
        <w:t xml:space="preserve"> </w:t>
      </w:r>
      <w:r w:rsidR="00530FB4" w:rsidRPr="00A40755">
        <w:rPr>
          <w:rFonts w:ascii="Verdana" w:hAnsi="Verdana" w:cs="Arial"/>
          <w:sz w:val="20"/>
          <w:szCs w:val="20"/>
          <w:lang w:val="en-GB"/>
        </w:rPr>
        <w:t xml:space="preserve">will be </w:t>
      </w:r>
      <w:r w:rsidRPr="00A40755">
        <w:rPr>
          <w:rFonts w:ascii="Verdana" w:hAnsi="Verdana" w:cs="Arial"/>
          <w:sz w:val="20"/>
          <w:szCs w:val="20"/>
          <w:lang w:val="en-GB"/>
        </w:rPr>
        <w:t>available</w:t>
      </w:r>
      <w:r w:rsidR="00F55B46" w:rsidRPr="00A40755">
        <w:rPr>
          <w:rFonts w:ascii="Verdana" w:hAnsi="Verdana" w:cs="Arial"/>
          <w:sz w:val="20"/>
          <w:szCs w:val="20"/>
          <w:lang w:val="en-GB"/>
        </w:rPr>
        <w:t xml:space="preserve"> at </w:t>
      </w:r>
      <w:hyperlink r:id="rId9" w:history="1">
        <w:r w:rsidR="00F55B46" w:rsidRPr="00A40755">
          <w:rPr>
            <w:rStyle w:val="Hyperlink"/>
          </w:rPr>
          <w:t>www.turnerandtownsend.com/annualreview</w:t>
        </w:r>
      </w:hyperlink>
      <w:r w:rsidRPr="00A40755">
        <w:rPr>
          <w:rFonts w:ascii="Verdana" w:hAnsi="Verdana" w:cs="Arial"/>
          <w:sz w:val="20"/>
          <w:szCs w:val="20"/>
          <w:lang w:val="en-GB"/>
        </w:rPr>
        <w:t xml:space="preserve"> </w:t>
      </w:r>
      <w:r w:rsidR="0085727E" w:rsidRPr="00A40755">
        <w:rPr>
          <w:rFonts w:ascii="Verdana" w:hAnsi="Verdana" w:cs="Arial"/>
          <w:sz w:val="20"/>
          <w:szCs w:val="20"/>
          <w:lang w:val="en-GB"/>
        </w:rPr>
        <w:t xml:space="preserve"> </w:t>
      </w:r>
    </w:p>
    <w:p w14:paraId="668A81ED" w14:textId="7F45FE3A" w:rsidR="00896158" w:rsidRPr="00A40755" w:rsidRDefault="00247198" w:rsidP="00E22BD5">
      <w:pPr>
        <w:pStyle w:val="Body"/>
        <w:spacing w:line="360" w:lineRule="auto"/>
        <w:ind w:left="2880" w:firstLine="720"/>
        <w:rPr>
          <w:rFonts w:ascii="Verdana" w:eastAsia="Verdana" w:hAnsi="Verdana" w:cs="Verdana"/>
          <w:b/>
          <w:bCs/>
          <w:color w:val="auto"/>
          <w:sz w:val="18"/>
          <w:szCs w:val="18"/>
        </w:rPr>
      </w:pPr>
      <w:r w:rsidRPr="00A40755">
        <w:rPr>
          <w:rFonts w:ascii="Verdana" w:eastAsia="Verdana" w:hAnsi="Verdana" w:cs="Verdana"/>
          <w:b/>
          <w:bCs/>
          <w:color w:val="auto"/>
          <w:sz w:val="18"/>
          <w:szCs w:val="18"/>
        </w:rPr>
        <w:t>–</w:t>
      </w:r>
      <w:r w:rsidRPr="00A40755">
        <w:rPr>
          <w:rFonts w:ascii="Verdana"/>
          <w:b/>
          <w:bCs/>
          <w:color w:val="auto"/>
          <w:sz w:val="18"/>
          <w:szCs w:val="18"/>
        </w:rPr>
        <w:t xml:space="preserve"> ENDS </w:t>
      </w:r>
      <w:r w:rsidRPr="00A40755">
        <w:rPr>
          <w:rFonts w:ascii="Verdana" w:eastAsia="Verdana" w:hAnsi="Verdana" w:cs="Verdana"/>
          <w:b/>
          <w:bCs/>
          <w:color w:val="auto"/>
          <w:sz w:val="18"/>
          <w:szCs w:val="18"/>
        </w:rPr>
        <w:t>–</w:t>
      </w:r>
    </w:p>
    <w:p w14:paraId="3B36E451" w14:textId="77777777" w:rsidR="00B87E04" w:rsidRPr="00A40755" w:rsidRDefault="00B87E04" w:rsidP="00E22BD5">
      <w:pPr>
        <w:pStyle w:val="Body"/>
        <w:spacing w:line="360" w:lineRule="auto"/>
        <w:ind w:left="2880" w:firstLine="720"/>
        <w:rPr>
          <w:rFonts w:ascii="Verdana" w:eastAsia="Verdana" w:hAnsi="Verdana" w:cs="Verdana"/>
          <w:b/>
          <w:bCs/>
          <w:color w:val="auto"/>
          <w:sz w:val="18"/>
          <w:szCs w:val="18"/>
        </w:rPr>
      </w:pPr>
    </w:p>
    <w:p w14:paraId="31300573" w14:textId="30B2D8F2" w:rsidR="003309B4" w:rsidRPr="00A40755" w:rsidRDefault="003309B4" w:rsidP="00284F1D">
      <w:pPr>
        <w:widowControl w:val="0"/>
        <w:tabs>
          <w:tab w:val="left" w:pos="220"/>
          <w:tab w:val="left" w:pos="720"/>
        </w:tabs>
        <w:autoSpaceDE w:val="0"/>
        <w:autoSpaceDN w:val="0"/>
        <w:adjustRightInd w:val="0"/>
        <w:spacing w:after="240" w:line="276" w:lineRule="auto"/>
        <w:jc w:val="both"/>
        <w:outlineLvl w:val="0"/>
        <w:rPr>
          <w:rFonts w:ascii="Verdana" w:hAnsi="Verdana" w:cs="Cambria"/>
          <w:b/>
          <w:bCs/>
          <w:sz w:val="18"/>
          <w:szCs w:val="18"/>
        </w:rPr>
      </w:pPr>
      <w:r w:rsidRPr="00A40755">
        <w:rPr>
          <w:rFonts w:ascii="Verdana" w:hAnsi="Verdana" w:cs="Cambria"/>
          <w:b/>
          <w:bCs/>
          <w:sz w:val="18"/>
          <w:szCs w:val="18"/>
        </w:rPr>
        <w:t>At a glance – Turner &amp; Townsend financial results for 20</w:t>
      </w:r>
      <w:r w:rsidR="000B50CA" w:rsidRPr="00A40755">
        <w:rPr>
          <w:rFonts w:ascii="Verdana" w:hAnsi="Verdana" w:cs="Cambria"/>
          <w:b/>
          <w:bCs/>
          <w:sz w:val="18"/>
          <w:szCs w:val="18"/>
        </w:rPr>
        <w:t>20</w:t>
      </w:r>
    </w:p>
    <w:tbl>
      <w:tblPr>
        <w:tblStyle w:val="TableGrid"/>
        <w:tblW w:w="8647" w:type="dxa"/>
        <w:tblInd w:w="-5" w:type="dxa"/>
        <w:tblLook w:val="04A0" w:firstRow="1" w:lastRow="0" w:firstColumn="1" w:lastColumn="0" w:noHBand="0" w:noVBand="1"/>
      </w:tblPr>
      <w:tblGrid>
        <w:gridCol w:w="2410"/>
        <w:gridCol w:w="1913"/>
        <w:gridCol w:w="2162"/>
        <w:gridCol w:w="2162"/>
      </w:tblGrid>
      <w:tr w:rsidR="003E6833" w:rsidRPr="00A40755" w14:paraId="6534C979" w14:textId="77777777" w:rsidTr="00B87E04">
        <w:tc>
          <w:tcPr>
            <w:tcW w:w="2410" w:type="dxa"/>
          </w:tcPr>
          <w:p w14:paraId="1A4DD828" w14:textId="77777777" w:rsidR="003E6833" w:rsidRPr="00A40755" w:rsidRDefault="003E6833" w:rsidP="003E683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Arial"/>
                <w:b/>
                <w:sz w:val="18"/>
                <w:szCs w:val="18"/>
                <w:lang w:val="en-GB"/>
              </w:rPr>
            </w:pPr>
          </w:p>
        </w:tc>
        <w:tc>
          <w:tcPr>
            <w:tcW w:w="1913" w:type="dxa"/>
          </w:tcPr>
          <w:p w14:paraId="350FF235" w14:textId="297D82DD" w:rsidR="003E6833" w:rsidRPr="00A40755" w:rsidRDefault="003E6833" w:rsidP="003E683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b/>
                <w:sz w:val="18"/>
                <w:szCs w:val="18"/>
                <w:lang w:val="en-GB"/>
              </w:rPr>
            </w:pPr>
            <w:r w:rsidRPr="00A40755">
              <w:rPr>
                <w:rFonts w:ascii="Verdana" w:hAnsi="Verdana" w:cs="Arial"/>
                <w:b/>
                <w:sz w:val="18"/>
                <w:szCs w:val="18"/>
                <w:lang w:val="en-GB"/>
              </w:rPr>
              <w:t>Year Ended          30 Apr 2020</w:t>
            </w:r>
          </w:p>
        </w:tc>
        <w:tc>
          <w:tcPr>
            <w:tcW w:w="2162" w:type="dxa"/>
          </w:tcPr>
          <w:p w14:paraId="376A4608" w14:textId="0DA881A1" w:rsidR="003E6833" w:rsidRPr="00A40755" w:rsidRDefault="003E6833" w:rsidP="003E683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b/>
                <w:sz w:val="18"/>
                <w:szCs w:val="18"/>
                <w:lang w:val="en-GB"/>
              </w:rPr>
            </w:pPr>
            <w:r w:rsidRPr="00A40755">
              <w:rPr>
                <w:rFonts w:ascii="Verdana" w:hAnsi="Verdana" w:cs="Arial"/>
                <w:b/>
                <w:sz w:val="18"/>
                <w:szCs w:val="18"/>
                <w:lang w:val="en-GB"/>
              </w:rPr>
              <w:t>Year Ended            30 Apr 2019</w:t>
            </w:r>
          </w:p>
        </w:tc>
        <w:tc>
          <w:tcPr>
            <w:tcW w:w="2162" w:type="dxa"/>
          </w:tcPr>
          <w:p w14:paraId="358FB58E" w14:textId="77777777" w:rsidR="003E6833" w:rsidRPr="00A40755" w:rsidRDefault="003E6833" w:rsidP="003E683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b/>
                <w:sz w:val="18"/>
                <w:szCs w:val="18"/>
                <w:lang w:val="en-GB"/>
              </w:rPr>
            </w:pPr>
            <w:r w:rsidRPr="00A40755">
              <w:rPr>
                <w:rFonts w:ascii="Verdana" w:hAnsi="Verdana" w:cs="Arial"/>
                <w:b/>
                <w:sz w:val="18"/>
                <w:szCs w:val="18"/>
                <w:lang w:val="en-GB"/>
              </w:rPr>
              <w:t>Change</w:t>
            </w:r>
          </w:p>
        </w:tc>
      </w:tr>
      <w:tr w:rsidR="00742570" w:rsidRPr="00A40755" w14:paraId="3E929E18" w14:textId="77777777" w:rsidTr="00B87E04">
        <w:tc>
          <w:tcPr>
            <w:tcW w:w="2410" w:type="dxa"/>
          </w:tcPr>
          <w:p w14:paraId="35222357" w14:textId="77777777"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Arial"/>
                <w:sz w:val="18"/>
                <w:szCs w:val="18"/>
                <w:lang w:val="en-GB"/>
              </w:rPr>
            </w:pPr>
            <w:r w:rsidRPr="00A40755">
              <w:rPr>
                <w:rFonts w:ascii="Verdana" w:hAnsi="Verdana" w:cs="Arial"/>
                <w:sz w:val="18"/>
                <w:szCs w:val="18"/>
                <w:lang w:val="en-GB"/>
              </w:rPr>
              <w:t>Global turnover</w:t>
            </w:r>
          </w:p>
        </w:tc>
        <w:tc>
          <w:tcPr>
            <w:tcW w:w="1913" w:type="dxa"/>
          </w:tcPr>
          <w:p w14:paraId="057EE4EE" w14:textId="4F121846"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£744m</w:t>
            </w:r>
          </w:p>
        </w:tc>
        <w:tc>
          <w:tcPr>
            <w:tcW w:w="2162" w:type="dxa"/>
          </w:tcPr>
          <w:p w14:paraId="79B28829" w14:textId="4D3E131C"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£640m</w:t>
            </w:r>
          </w:p>
        </w:tc>
        <w:tc>
          <w:tcPr>
            <w:tcW w:w="2162" w:type="dxa"/>
          </w:tcPr>
          <w:p w14:paraId="19070D36" w14:textId="5980FA6C"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sz w:val="18"/>
                <w:szCs w:val="18"/>
              </w:rPr>
              <w:t>16.3%</w:t>
            </w:r>
          </w:p>
        </w:tc>
      </w:tr>
      <w:tr w:rsidR="00742570" w:rsidRPr="00A40755" w14:paraId="66EE8FE8" w14:textId="77777777" w:rsidTr="00B87E04">
        <w:tc>
          <w:tcPr>
            <w:tcW w:w="2410" w:type="dxa"/>
          </w:tcPr>
          <w:p w14:paraId="19C7D184" w14:textId="77777777"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Arial"/>
                <w:sz w:val="18"/>
                <w:szCs w:val="18"/>
                <w:lang w:val="en-GB"/>
              </w:rPr>
            </w:pPr>
            <w:r w:rsidRPr="00A40755">
              <w:rPr>
                <w:rFonts w:ascii="Verdana" w:hAnsi="Verdana" w:cs="Arial"/>
                <w:sz w:val="18"/>
                <w:szCs w:val="18"/>
                <w:lang w:val="en-GB"/>
              </w:rPr>
              <w:lastRenderedPageBreak/>
              <w:t>Global net revenue</w:t>
            </w:r>
          </w:p>
        </w:tc>
        <w:tc>
          <w:tcPr>
            <w:tcW w:w="1913" w:type="dxa"/>
          </w:tcPr>
          <w:p w14:paraId="42522F35" w14:textId="043A13EB"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£681m</w:t>
            </w:r>
          </w:p>
        </w:tc>
        <w:tc>
          <w:tcPr>
            <w:tcW w:w="2162" w:type="dxa"/>
          </w:tcPr>
          <w:p w14:paraId="21BD83C8" w14:textId="20F272EF"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£580m</w:t>
            </w:r>
          </w:p>
        </w:tc>
        <w:tc>
          <w:tcPr>
            <w:tcW w:w="2162" w:type="dxa"/>
          </w:tcPr>
          <w:p w14:paraId="741BBB55" w14:textId="712A888A"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sz w:val="18"/>
                <w:szCs w:val="18"/>
              </w:rPr>
              <w:t>17.</w:t>
            </w:r>
            <w:r w:rsidR="00A7236C" w:rsidRPr="00A40755">
              <w:rPr>
                <w:rFonts w:ascii="Verdana" w:hAnsi="Verdana"/>
                <w:sz w:val="18"/>
                <w:szCs w:val="18"/>
              </w:rPr>
              <w:t>3</w:t>
            </w:r>
            <w:r w:rsidRPr="00A40755">
              <w:rPr>
                <w:rFonts w:ascii="Verdana" w:hAnsi="Verdana"/>
                <w:sz w:val="18"/>
                <w:szCs w:val="18"/>
              </w:rPr>
              <w:t>%</w:t>
            </w:r>
          </w:p>
        </w:tc>
      </w:tr>
      <w:tr w:rsidR="00742570" w:rsidRPr="00A40755" w14:paraId="6A6542FE" w14:textId="77777777" w:rsidTr="00B87E04">
        <w:tc>
          <w:tcPr>
            <w:tcW w:w="2410" w:type="dxa"/>
          </w:tcPr>
          <w:p w14:paraId="6913A400" w14:textId="5242FDAD"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Arial"/>
                <w:sz w:val="18"/>
                <w:szCs w:val="18"/>
                <w:lang w:val="en-GB"/>
              </w:rPr>
            </w:pPr>
            <w:r w:rsidRPr="00A40755">
              <w:rPr>
                <w:rFonts w:ascii="Verdana" w:hAnsi="Verdana" w:cs="Arial"/>
                <w:sz w:val="18"/>
                <w:szCs w:val="18"/>
                <w:lang w:val="en-GB"/>
              </w:rPr>
              <w:t>Global operating profit</w:t>
            </w:r>
            <w:r w:rsidR="00A7236C" w:rsidRPr="00A40755">
              <w:rPr>
                <w:rFonts w:ascii="Verdana" w:hAnsi="Verdana" w:cs="Arial"/>
                <w:sz w:val="18"/>
                <w:szCs w:val="18"/>
                <w:lang w:val="en-GB"/>
              </w:rPr>
              <w:t xml:space="preserve"> before amortisation</w:t>
            </w:r>
          </w:p>
        </w:tc>
        <w:tc>
          <w:tcPr>
            <w:tcW w:w="1913" w:type="dxa"/>
          </w:tcPr>
          <w:p w14:paraId="583F0D49" w14:textId="07C50FF8"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£8</w:t>
            </w:r>
            <w:r w:rsidR="00A7236C" w:rsidRPr="00A40755">
              <w:rPr>
                <w:rFonts w:ascii="Verdana" w:hAnsi="Verdana" w:cs="Arial"/>
                <w:sz w:val="18"/>
                <w:szCs w:val="18"/>
                <w:lang w:val="en-GB"/>
              </w:rPr>
              <w:t>8</w:t>
            </w:r>
            <w:r w:rsidRPr="00A40755">
              <w:rPr>
                <w:rFonts w:ascii="Verdana" w:hAnsi="Verdana" w:cs="Arial"/>
                <w:sz w:val="18"/>
                <w:szCs w:val="18"/>
                <w:lang w:val="en-GB"/>
              </w:rPr>
              <w:t>m</w:t>
            </w:r>
          </w:p>
        </w:tc>
        <w:tc>
          <w:tcPr>
            <w:tcW w:w="2162" w:type="dxa"/>
          </w:tcPr>
          <w:p w14:paraId="31878358" w14:textId="1BEC7998"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£68m</w:t>
            </w:r>
          </w:p>
        </w:tc>
        <w:tc>
          <w:tcPr>
            <w:tcW w:w="2162" w:type="dxa"/>
          </w:tcPr>
          <w:p w14:paraId="7C9B3C4D" w14:textId="2BDF2B6F"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sz w:val="18"/>
                <w:szCs w:val="18"/>
              </w:rPr>
              <w:t>2</w:t>
            </w:r>
            <w:r w:rsidR="00A7236C" w:rsidRPr="00A40755">
              <w:rPr>
                <w:rFonts w:ascii="Verdana" w:hAnsi="Verdana"/>
                <w:sz w:val="18"/>
                <w:szCs w:val="18"/>
              </w:rPr>
              <w:t>9</w:t>
            </w:r>
            <w:r w:rsidRPr="00A40755">
              <w:rPr>
                <w:rFonts w:ascii="Verdana" w:hAnsi="Verdana"/>
                <w:sz w:val="18"/>
                <w:szCs w:val="18"/>
              </w:rPr>
              <w:t>.</w:t>
            </w:r>
            <w:r w:rsidR="00A7236C" w:rsidRPr="00A40755">
              <w:rPr>
                <w:rFonts w:ascii="Verdana" w:hAnsi="Verdana"/>
                <w:sz w:val="18"/>
                <w:szCs w:val="18"/>
              </w:rPr>
              <w:t>0</w:t>
            </w:r>
            <w:r w:rsidRPr="00A40755">
              <w:rPr>
                <w:rFonts w:ascii="Verdana" w:hAnsi="Verdana"/>
                <w:sz w:val="18"/>
                <w:szCs w:val="18"/>
              </w:rPr>
              <w:t>%</w:t>
            </w:r>
          </w:p>
        </w:tc>
      </w:tr>
      <w:tr w:rsidR="00742570" w:rsidRPr="00A40755" w14:paraId="6869B7FC" w14:textId="77777777" w:rsidTr="00B87E04">
        <w:tc>
          <w:tcPr>
            <w:tcW w:w="2410" w:type="dxa"/>
          </w:tcPr>
          <w:p w14:paraId="49C7EF34" w14:textId="77777777"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Arial"/>
                <w:sz w:val="18"/>
                <w:szCs w:val="18"/>
                <w:lang w:val="en-GB"/>
              </w:rPr>
            </w:pPr>
            <w:r w:rsidRPr="00A40755">
              <w:rPr>
                <w:rFonts w:ascii="Verdana" w:hAnsi="Verdana" w:cs="Arial"/>
                <w:sz w:val="18"/>
                <w:szCs w:val="18"/>
                <w:lang w:val="en-GB"/>
              </w:rPr>
              <w:t xml:space="preserve">Global employees </w:t>
            </w:r>
          </w:p>
        </w:tc>
        <w:tc>
          <w:tcPr>
            <w:tcW w:w="1913" w:type="dxa"/>
          </w:tcPr>
          <w:p w14:paraId="0630D6F0" w14:textId="5667962F"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6,789</w:t>
            </w:r>
          </w:p>
        </w:tc>
        <w:tc>
          <w:tcPr>
            <w:tcW w:w="2162" w:type="dxa"/>
          </w:tcPr>
          <w:p w14:paraId="16306B12" w14:textId="043250D3"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6,105</w:t>
            </w:r>
          </w:p>
        </w:tc>
        <w:tc>
          <w:tcPr>
            <w:tcW w:w="2162" w:type="dxa"/>
          </w:tcPr>
          <w:p w14:paraId="3950B62D" w14:textId="18F8FF96"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sz w:val="18"/>
                <w:szCs w:val="18"/>
              </w:rPr>
              <w:t>11.2%</w:t>
            </w:r>
          </w:p>
        </w:tc>
      </w:tr>
      <w:tr w:rsidR="00742570" w:rsidRPr="00A40755" w14:paraId="773B2532" w14:textId="77777777" w:rsidTr="00B87E04">
        <w:tc>
          <w:tcPr>
            <w:tcW w:w="2410" w:type="dxa"/>
          </w:tcPr>
          <w:p w14:paraId="3AC41E02" w14:textId="2B920DD4" w:rsidR="00742570" w:rsidRPr="00A40755" w:rsidRDefault="00742570" w:rsidP="00A7236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Arial"/>
                <w:sz w:val="18"/>
                <w:szCs w:val="18"/>
                <w:lang w:val="en-GB"/>
              </w:rPr>
            </w:pPr>
            <w:r w:rsidRPr="00A40755">
              <w:rPr>
                <w:rFonts w:ascii="Verdana" w:hAnsi="Verdana" w:cs="Arial"/>
                <w:sz w:val="18"/>
                <w:szCs w:val="18"/>
                <w:lang w:val="en-GB"/>
              </w:rPr>
              <w:t xml:space="preserve">UK </w:t>
            </w:r>
            <w:r w:rsidR="00A7236C" w:rsidRPr="00A40755">
              <w:rPr>
                <w:rFonts w:ascii="Verdana" w:hAnsi="Verdana" w:cs="Arial"/>
                <w:sz w:val="18"/>
                <w:szCs w:val="18"/>
                <w:lang w:val="en-GB"/>
              </w:rPr>
              <w:t>net revenue</w:t>
            </w:r>
          </w:p>
        </w:tc>
        <w:tc>
          <w:tcPr>
            <w:tcW w:w="1913" w:type="dxa"/>
          </w:tcPr>
          <w:p w14:paraId="4BDE76FA" w14:textId="6597DC84"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£283m</w:t>
            </w:r>
          </w:p>
        </w:tc>
        <w:tc>
          <w:tcPr>
            <w:tcW w:w="2162" w:type="dxa"/>
          </w:tcPr>
          <w:p w14:paraId="10BFF5F1" w14:textId="2C5EBAE4"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£259m</w:t>
            </w:r>
          </w:p>
        </w:tc>
        <w:tc>
          <w:tcPr>
            <w:tcW w:w="2162" w:type="dxa"/>
          </w:tcPr>
          <w:p w14:paraId="64038CBD" w14:textId="60C0C7E2"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sz w:val="18"/>
                <w:szCs w:val="18"/>
              </w:rPr>
              <w:t>9.3%</w:t>
            </w:r>
          </w:p>
        </w:tc>
      </w:tr>
      <w:tr w:rsidR="00742570" w:rsidRPr="00C173DC" w14:paraId="348B3CE0" w14:textId="77777777" w:rsidTr="00B87E04">
        <w:tc>
          <w:tcPr>
            <w:tcW w:w="2410" w:type="dxa"/>
          </w:tcPr>
          <w:p w14:paraId="330ED6A4" w14:textId="77777777"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Arial"/>
                <w:sz w:val="18"/>
                <w:szCs w:val="18"/>
                <w:lang w:val="en-GB"/>
              </w:rPr>
            </w:pPr>
            <w:r w:rsidRPr="00A40755">
              <w:rPr>
                <w:rFonts w:ascii="Verdana" w:hAnsi="Verdana" w:cs="Arial"/>
                <w:sz w:val="18"/>
                <w:szCs w:val="18"/>
                <w:lang w:val="en-GB"/>
              </w:rPr>
              <w:t>UK operating profit</w:t>
            </w:r>
          </w:p>
        </w:tc>
        <w:tc>
          <w:tcPr>
            <w:tcW w:w="1913" w:type="dxa"/>
          </w:tcPr>
          <w:p w14:paraId="4F210387" w14:textId="0DF3B210"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£36m</w:t>
            </w:r>
          </w:p>
        </w:tc>
        <w:tc>
          <w:tcPr>
            <w:tcW w:w="2162" w:type="dxa"/>
          </w:tcPr>
          <w:p w14:paraId="5B4D2592" w14:textId="7D4C206B"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cs="Arial"/>
                <w:sz w:val="18"/>
                <w:szCs w:val="18"/>
                <w:lang w:val="en-GB"/>
              </w:rPr>
              <w:t>£29m</w:t>
            </w:r>
          </w:p>
        </w:tc>
        <w:tc>
          <w:tcPr>
            <w:tcW w:w="2162" w:type="dxa"/>
          </w:tcPr>
          <w:p w14:paraId="60DA5F6A" w14:textId="1D2942F4" w:rsidR="00742570" w:rsidRPr="00A40755" w:rsidRDefault="00742570" w:rsidP="0074257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Verdana" w:hAnsi="Verdana" w:cs="Arial"/>
                <w:sz w:val="18"/>
                <w:szCs w:val="18"/>
                <w:lang w:val="en-GB"/>
              </w:rPr>
            </w:pPr>
            <w:r w:rsidRPr="00A40755">
              <w:rPr>
                <w:rFonts w:ascii="Verdana" w:hAnsi="Verdana"/>
                <w:sz w:val="18"/>
                <w:szCs w:val="18"/>
              </w:rPr>
              <w:t>24.</w:t>
            </w:r>
            <w:r w:rsidR="00A7236C" w:rsidRPr="00A40755">
              <w:rPr>
                <w:rFonts w:ascii="Verdana" w:hAnsi="Verdana"/>
                <w:sz w:val="18"/>
                <w:szCs w:val="18"/>
              </w:rPr>
              <w:t>6</w:t>
            </w:r>
            <w:r w:rsidRPr="00A40755">
              <w:rPr>
                <w:rFonts w:ascii="Verdana" w:hAnsi="Verdana"/>
                <w:sz w:val="18"/>
                <w:szCs w:val="18"/>
              </w:rPr>
              <w:t>%</w:t>
            </w:r>
          </w:p>
        </w:tc>
      </w:tr>
    </w:tbl>
    <w:p w14:paraId="5CAB2F45" w14:textId="77777777" w:rsidR="003309B4" w:rsidRPr="00C173DC" w:rsidRDefault="003309B4" w:rsidP="00284F1D">
      <w:pPr>
        <w:widowControl w:val="0"/>
        <w:tabs>
          <w:tab w:val="left" w:pos="220"/>
          <w:tab w:val="left" w:pos="720"/>
        </w:tabs>
        <w:autoSpaceDE w:val="0"/>
        <w:autoSpaceDN w:val="0"/>
        <w:adjustRightInd w:val="0"/>
        <w:spacing w:after="240" w:line="276" w:lineRule="auto"/>
        <w:jc w:val="both"/>
        <w:outlineLvl w:val="0"/>
        <w:rPr>
          <w:rFonts w:ascii="Verdana" w:hAnsi="Verdana" w:cs="Cambria"/>
          <w:b/>
          <w:bCs/>
          <w:sz w:val="18"/>
          <w:szCs w:val="18"/>
        </w:rPr>
      </w:pPr>
    </w:p>
    <w:p w14:paraId="2E41585D" w14:textId="77777777" w:rsidR="008A76A6" w:rsidRPr="00C173DC" w:rsidRDefault="003309B4" w:rsidP="00284F1D">
      <w:pPr>
        <w:widowControl w:val="0"/>
        <w:tabs>
          <w:tab w:val="left" w:pos="220"/>
          <w:tab w:val="left" w:pos="720"/>
        </w:tabs>
        <w:autoSpaceDE w:val="0"/>
        <w:autoSpaceDN w:val="0"/>
        <w:adjustRightInd w:val="0"/>
        <w:spacing w:after="240" w:line="276" w:lineRule="auto"/>
        <w:jc w:val="both"/>
        <w:outlineLvl w:val="0"/>
        <w:rPr>
          <w:rFonts w:ascii="Verdana" w:hAnsi="Verdana" w:cs="Cambria"/>
          <w:b/>
          <w:bCs/>
          <w:sz w:val="18"/>
          <w:szCs w:val="18"/>
        </w:rPr>
      </w:pPr>
      <w:r w:rsidRPr="00C173DC">
        <w:rPr>
          <w:rFonts w:ascii="Verdana" w:hAnsi="Verdana" w:cs="Cambria"/>
          <w:b/>
          <w:bCs/>
          <w:sz w:val="18"/>
          <w:szCs w:val="18"/>
        </w:rPr>
        <w:t>N</w:t>
      </w:r>
      <w:r w:rsidR="008A76A6" w:rsidRPr="00C173DC">
        <w:rPr>
          <w:rFonts w:ascii="Verdana" w:hAnsi="Verdana" w:cs="Cambria"/>
          <w:b/>
          <w:bCs/>
          <w:sz w:val="18"/>
          <w:szCs w:val="18"/>
        </w:rPr>
        <w:t>otes to Editors</w:t>
      </w:r>
    </w:p>
    <w:p w14:paraId="1BE7A9A6" w14:textId="77777777" w:rsidR="003D2688" w:rsidRPr="00C173DC" w:rsidRDefault="009975F7" w:rsidP="00284F1D">
      <w:pPr>
        <w:pStyle w:val="Body"/>
        <w:spacing w:line="276" w:lineRule="auto"/>
        <w:jc w:val="both"/>
        <w:outlineLvl w:val="0"/>
        <w:rPr>
          <w:rFonts w:ascii="Verdana" w:eastAsia="Verdana" w:hAnsi="Verdana" w:cs="Verdana"/>
          <w:b/>
          <w:bCs/>
          <w:color w:val="auto"/>
          <w:sz w:val="18"/>
          <w:szCs w:val="18"/>
        </w:rPr>
      </w:pPr>
      <w:r w:rsidRPr="00C173DC">
        <w:rPr>
          <w:rFonts w:ascii="Verdana"/>
          <w:b/>
          <w:bCs/>
          <w:color w:val="auto"/>
          <w:sz w:val="18"/>
          <w:szCs w:val="18"/>
          <w:lang w:val="en-US"/>
        </w:rPr>
        <w:t>For more information please contact:</w:t>
      </w:r>
    </w:p>
    <w:p w14:paraId="2164122F" w14:textId="60DE4B20" w:rsidR="003D2688" w:rsidRPr="00C173DC" w:rsidRDefault="00F3203D" w:rsidP="00284F1D">
      <w:pPr>
        <w:pStyle w:val="Body"/>
        <w:spacing w:line="276" w:lineRule="auto"/>
        <w:jc w:val="both"/>
        <w:outlineLvl w:val="0"/>
        <w:rPr>
          <w:rFonts w:ascii="Verdana" w:eastAsia="Verdana" w:hAnsi="Verdana" w:cs="Verdana"/>
          <w:color w:val="auto"/>
          <w:sz w:val="18"/>
          <w:szCs w:val="18"/>
        </w:rPr>
      </w:pPr>
      <w:r>
        <w:rPr>
          <w:rFonts w:ascii="Verdana"/>
          <w:color w:val="auto"/>
          <w:sz w:val="18"/>
          <w:szCs w:val="18"/>
          <w:lang w:val="en-US"/>
        </w:rPr>
        <w:t>Emily Barnes</w:t>
      </w:r>
      <w:r w:rsidR="006F7AA3" w:rsidRPr="00C173DC">
        <w:rPr>
          <w:rFonts w:ascii="Verdana"/>
          <w:color w:val="auto"/>
          <w:sz w:val="18"/>
          <w:szCs w:val="18"/>
          <w:lang w:val="en-US"/>
        </w:rPr>
        <w:t xml:space="preserve"> / Matt Lloyd</w:t>
      </w:r>
    </w:p>
    <w:p w14:paraId="171A567D" w14:textId="77777777" w:rsidR="003D2688" w:rsidRPr="00C173DC" w:rsidRDefault="006F7AA3" w:rsidP="006F7AA3">
      <w:pPr>
        <w:pStyle w:val="Body"/>
        <w:spacing w:line="276" w:lineRule="auto"/>
        <w:jc w:val="both"/>
        <w:rPr>
          <w:rFonts w:ascii="Verdana" w:eastAsia="Verdana" w:hAnsi="Verdana" w:cs="Verdana"/>
          <w:color w:val="auto"/>
          <w:sz w:val="18"/>
          <w:szCs w:val="18"/>
        </w:rPr>
      </w:pPr>
      <w:r w:rsidRPr="00C173DC">
        <w:rPr>
          <w:rFonts w:ascii="Verdana"/>
          <w:color w:val="auto"/>
          <w:sz w:val="18"/>
          <w:szCs w:val="18"/>
          <w:lang w:val="it-IT"/>
        </w:rPr>
        <w:t>Camargue</w:t>
      </w:r>
    </w:p>
    <w:p w14:paraId="6874C2D6" w14:textId="52FA4250" w:rsidR="003D2688" w:rsidRPr="00C173DC" w:rsidRDefault="009975F7" w:rsidP="006F7AA3">
      <w:pPr>
        <w:pStyle w:val="Body"/>
        <w:spacing w:line="276" w:lineRule="auto"/>
        <w:jc w:val="both"/>
        <w:rPr>
          <w:rFonts w:ascii="Verdana" w:eastAsia="Verdana" w:hAnsi="Verdana" w:cs="Verdana"/>
          <w:color w:val="auto"/>
          <w:sz w:val="18"/>
          <w:szCs w:val="18"/>
        </w:rPr>
      </w:pPr>
      <w:r w:rsidRPr="00C173DC">
        <w:rPr>
          <w:rFonts w:ascii="Verdana"/>
          <w:color w:val="auto"/>
          <w:sz w:val="18"/>
          <w:szCs w:val="18"/>
        </w:rPr>
        <w:t xml:space="preserve">T +44 (0) </w:t>
      </w:r>
      <w:r w:rsidR="006F7AA3" w:rsidRPr="00C173DC">
        <w:rPr>
          <w:rFonts w:ascii="Verdana"/>
          <w:color w:val="auto"/>
          <w:sz w:val="18"/>
          <w:szCs w:val="18"/>
        </w:rPr>
        <w:t>207 636 7366</w:t>
      </w:r>
    </w:p>
    <w:p w14:paraId="62638C3E" w14:textId="6AD314D7" w:rsidR="002713F0" w:rsidRDefault="009975F7" w:rsidP="002713F0">
      <w:pPr>
        <w:pStyle w:val="Body"/>
        <w:spacing w:line="276" w:lineRule="auto"/>
        <w:jc w:val="both"/>
        <w:outlineLvl w:val="0"/>
        <w:rPr>
          <w:rStyle w:val="Hyperlink"/>
          <w:rFonts w:ascii="Verdana"/>
          <w:sz w:val="18"/>
          <w:szCs w:val="18"/>
        </w:rPr>
      </w:pPr>
      <w:r w:rsidRPr="00C173DC">
        <w:rPr>
          <w:rFonts w:ascii="Verdana"/>
          <w:color w:val="auto"/>
          <w:sz w:val="18"/>
          <w:szCs w:val="18"/>
        </w:rPr>
        <w:t>E</w:t>
      </w:r>
      <w:r w:rsidR="006F7AA3" w:rsidRPr="00C173DC">
        <w:rPr>
          <w:rFonts w:ascii="Verdana"/>
          <w:color w:val="auto"/>
          <w:sz w:val="18"/>
          <w:szCs w:val="18"/>
        </w:rPr>
        <w:t xml:space="preserve"> </w:t>
      </w:r>
      <w:hyperlink r:id="rId10" w:history="1">
        <w:r w:rsidR="000B50CA" w:rsidRPr="006F5F06">
          <w:rPr>
            <w:rStyle w:val="Hyperlink"/>
            <w:rFonts w:ascii="Verdana"/>
            <w:sz w:val="18"/>
            <w:szCs w:val="18"/>
          </w:rPr>
          <w:t>turntown@camargue.uk</w:t>
        </w:r>
      </w:hyperlink>
    </w:p>
    <w:p w14:paraId="3ED375DD" w14:textId="77777777" w:rsidR="00E01CF8" w:rsidRPr="00C173DC" w:rsidRDefault="00E01CF8" w:rsidP="002713F0">
      <w:pPr>
        <w:pStyle w:val="Body"/>
        <w:spacing w:line="276" w:lineRule="auto"/>
        <w:jc w:val="both"/>
        <w:outlineLvl w:val="0"/>
        <w:rPr>
          <w:rFonts w:ascii="Verdana"/>
          <w:color w:val="auto"/>
          <w:sz w:val="18"/>
          <w:szCs w:val="18"/>
        </w:rPr>
      </w:pPr>
    </w:p>
    <w:p w14:paraId="70F6BF71" w14:textId="34B04412" w:rsidR="00B449CA" w:rsidRPr="00C173DC" w:rsidRDefault="00F3203D" w:rsidP="00B449CA">
      <w:pPr>
        <w:pStyle w:val="BTBold"/>
        <w:spacing w:line="276" w:lineRule="auto"/>
        <w:outlineLvl w:val="0"/>
        <w:rPr>
          <w:rFonts w:hAnsi="Verdana"/>
          <w:color w:val="auto"/>
          <w:lang w:val="en-GB"/>
        </w:rPr>
      </w:pPr>
      <w:r>
        <w:rPr>
          <w:rFonts w:hAnsi="Verdana"/>
          <w:color w:val="auto"/>
          <w:lang w:val="en-GB"/>
        </w:rPr>
        <w:t>A</w:t>
      </w:r>
      <w:r w:rsidR="00B449CA" w:rsidRPr="00C173DC">
        <w:rPr>
          <w:rFonts w:hAnsi="Verdana"/>
          <w:color w:val="auto"/>
          <w:lang w:val="en-GB"/>
        </w:rPr>
        <w:t>bout Turner &amp; Townsend</w:t>
      </w:r>
    </w:p>
    <w:p w14:paraId="451B4823" w14:textId="77777777" w:rsidR="00B449CA" w:rsidRPr="00C173DC" w:rsidRDefault="00B449CA" w:rsidP="00B449CA">
      <w:pPr>
        <w:rPr>
          <w:rFonts w:ascii="Verdana" w:eastAsia="Cambria" w:hAnsi="Verdana" w:cs="Cambria"/>
          <w:sz w:val="18"/>
          <w:szCs w:val="18"/>
          <w:u w:color="000000"/>
          <w:lang w:val="en-GB"/>
        </w:rPr>
      </w:pPr>
      <w:r w:rsidRPr="00C173DC">
        <w:rPr>
          <w:rFonts w:ascii="Verdana" w:eastAsia="Cambria" w:hAnsi="Verdana" w:cs="Cambria"/>
          <w:sz w:val="18"/>
          <w:szCs w:val="18"/>
          <w:u w:color="000000"/>
          <w:lang w:val="en-GB"/>
        </w:rPr>
        <w:t>Turner &amp; Townsend is an independent professional services company specialising in program</w:t>
      </w:r>
      <w:r w:rsidR="00765106" w:rsidRPr="00C173DC">
        <w:rPr>
          <w:rFonts w:ascii="Verdana" w:eastAsia="Cambria" w:hAnsi="Verdana" w:cs="Cambria"/>
          <w:sz w:val="18"/>
          <w:szCs w:val="18"/>
          <w:u w:color="000000"/>
          <w:lang w:val="en-GB"/>
        </w:rPr>
        <w:t>me</w:t>
      </w:r>
      <w:r w:rsidRPr="00C173DC">
        <w:rPr>
          <w:rFonts w:ascii="Verdana" w:eastAsia="Cambria" w:hAnsi="Verdana" w:cs="Cambria"/>
          <w:sz w:val="18"/>
          <w:szCs w:val="18"/>
          <w:u w:color="000000"/>
          <w:lang w:val="en-GB"/>
        </w:rPr>
        <w:t xml:space="preserve"> management, project management, cost and commercial management and advisory across the real estate, infrastructure and natural resources sectors.</w:t>
      </w:r>
    </w:p>
    <w:p w14:paraId="42AB4ABF" w14:textId="77777777" w:rsidR="00B449CA" w:rsidRPr="00C173DC" w:rsidRDefault="00B449CA" w:rsidP="00B449CA">
      <w:pPr>
        <w:rPr>
          <w:rFonts w:ascii="Verdana" w:eastAsia="Cambria" w:hAnsi="Verdana" w:cs="Cambria"/>
          <w:sz w:val="18"/>
          <w:szCs w:val="18"/>
          <w:u w:color="000000"/>
          <w:lang w:val="en-GB"/>
        </w:rPr>
      </w:pPr>
    </w:p>
    <w:p w14:paraId="405F47AB" w14:textId="49F4A24E" w:rsidR="00B449CA" w:rsidRPr="00C173DC" w:rsidRDefault="00B449CA" w:rsidP="00B449CA">
      <w:pPr>
        <w:rPr>
          <w:rFonts w:ascii="Verdana" w:eastAsia="Cambria" w:hAnsi="Verdana" w:cs="Cambria"/>
          <w:sz w:val="18"/>
          <w:szCs w:val="18"/>
          <w:u w:color="000000"/>
          <w:lang w:val="en-GB"/>
        </w:rPr>
      </w:pPr>
      <w:r w:rsidRPr="00C173DC">
        <w:rPr>
          <w:rFonts w:ascii="Verdana" w:eastAsia="Cambria" w:hAnsi="Verdana" w:cs="Cambria"/>
          <w:sz w:val="18"/>
          <w:szCs w:val="18"/>
          <w:u w:color="000000"/>
          <w:lang w:val="en-GB"/>
        </w:rPr>
        <w:t>With 1</w:t>
      </w:r>
      <w:r w:rsidR="00C55B9C" w:rsidRPr="00C173DC">
        <w:rPr>
          <w:rFonts w:ascii="Verdana" w:eastAsia="Cambria" w:hAnsi="Verdana" w:cs="Cambria"/>
          <w:sz w:val="18"/>
          <w:szCs w:val="18"/>
          <w:u w:color="000000"/>
          <w:lang w:val="en-GB"/>
        </w:rPr>
        <w:t>1</w:t>
      </w:r>
      <w:r w:rsidR="008513A3">
        <w:rPr>
          <w:rFonts w:ascii="Verdana" w:eastAsia="Cambria" w:hAnsi="Verdana" w:cs="Cambria"/>
          <w:sz w:val="18"/>
          <w:szCs w:val="18"/>
          <w:u w:color="000000"/>
          <w:lang w:val="en-GB"/>
        </w:rPr>
        <w:t>1</w:t>
      </w:r>
      <w:r w:rsidRPr="00C173DC">
        <w:rPr>
          <w:rFonts w:ascii="Verdana" w:eastAsia="Cambria" w:hAnsi="Verdana" w:cs="Cambria"/>
          <w:sz w:val="18"/>
          <w:szCs w:val="18"/>
          <w:u w:color="000000"/>
          <w:lang w:val="en-GB"/>
        </w:rPr>
        <w:t xml:space="preserve"> offices in 4</w:t>
      </w:r>
      <w:r w:rsidR="008513A3">
        <w:rPr>
          <w:rFonts w:ascii="Verdana" w:eastAsia="Cambria" w:hAnsi="Verdana" w:cs="Cambria"/>
          <w:sz w:val="18"/>
          <w:szCs w:val="18"/>
          <w:u w:color="000000"/>
          <w:lang w:val="en-GB"/>
        </w:rPr>
        <w:t>6</w:t>
      </w:r>
      <w:r w:rsidRPr="00C173DC">
        <w:rPr>
          <w:rFonts w:ascii="Verdana" w:eastAsia="Cambria" w:hAnsi="Verdana" w:cs="Cambria"/>
          <w:sz w:val="18"/>
          <w:szCs w:val="18"/>
          <w:u w:color="000000"/>
          <w:lang w:val="en-GB"/>
        </w:rPr>
        <w:t xml:space="preserve"> countries, we draw on our extensive global and industry experience to manage risk while maximising value and performance during the construction and operation of our clients’ assets. </w:t>
      </w:r>
      <w:hyperlink r:id="rId11" w:history="1">
        <w:r w:rsidRPr="00C173DC">
          <w:rPr>
            <w:rStyle w:val="Hyperlink"/>
            <w:rFonts w:ascii="Verdana" w:eastAsia="Cambria" w:hAnsi="Verdana" w:cs="Cambria"/>
            <w:sz w:val="18"/>
            <w:szCs w:val="18"/>
            <w:u w:color="000000"/>
            <w:lang w:val="en-GB"/>
          </w:rPr>
          <w:t>www.turnerandtownsend.com</w:t>
        </w:r>
      </w:hyperlink>
    </w:p>
    <w:p w14:paraId="224D5380" w14:textId="77777777" w:rsidR="006F7AA3" w:rsidRPr="00C173DC" w:rsidRDefault="006F7AA3" w:rsidP="00284F1D">
      <w:pPr>
        <w:pStyle w:val="Body"/>
        <w:spacing w:line="276" w:lineRule="auto"/>
        <w:jc w:val="both"/>
        <w:outlineLvl w:val="0"/>
        <w:rPr>
          <w:rFonts w:ascii="Verdana"/>
          <w:color w:val="auto"/>
          <w:sz w:val="18"/>
          <w:szCs w:val="18"/>
        </w:rPr>
      </w:pPr>
    </w:p>
    <w:sectPr w:rsidR="006F7AA3" w:rsidRPr="00C173DC" w:rsidSect="000863A7">
      <w:headerReference w:type="default" r:id="rId12"/>
      <w:footerReference w:type="default" r:id="rId1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366D6" w14:textId="77777777" w:rsidR="008D6B8B" w:rsidRDefault="008D6B8B">
      <w:r>
        <w:separator/>
      </w:r>
    </w:p>
  </w:endnote>
  <w:endnote w:type="continuationSeparator" w:id="0">
    <w:p w14:paraId="2396E155" w14:textId="77777777" w:rsidR="008D6B8B" w:rsidRDefault="008D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696145"/>
      <w:docPartObj>
        <w:docPartGallery w:val="Page Numbers (Bottom of Page)"/>
        <w:docPartUnique/>
      </w:docPartObj>
    </w:sdtPr>
    <w:sdtEndPr>
      <w:rPr>
        <w:rFonts w:ascii="Verdana" w:hAnsi="Verdana"/>
        <w:noProof/>
        <w:sz w:val="18"/>
        <w:szCs w:val="18"/>
      </w:rPr>
    </w:sdtEndPr>
    <w:sdtContent>
      <w:p w14:paraId="3C535A2E" w14:textId="77777777" w:rsidR="003309B4" w:rsidRPr="003309B4" w:rsidRDefault="003309B4">
        <w:pPr>
          <w:pStyle w:val="Footer"/>
          <w:jc w:val="center"/>
          <w:rPr>
            <w:rFonts w:ascii="Verdana" w:hAnsi="Verdana"/>
            <w:sz w:val="18"/>
            <w:szCs w:val="18"/>
          </w:rPr>
        </w:pPr>
        <w:r w:rsidRPr="003309B4">
          <w:rPr>
            <w:rFonts w:ascii="Verdana" w:hAnsi="Verdana"/>
            <w:sz w:val="18"/>
            <w:szCs w:val="18"/>
          </w:rPr>
          <w:fldChar w:fldCharType="begin"/>
        </w:r>
        <w:r w:rsidRPr="003309B4">
          <w:rPr>
            <w:rFonts w:ascii="Verdana" w:hAnsi="Verdana"/>
            <w:sz w:val="18"/>
            <w:szCs w:val="18"/>
          </w:rPr>
          <w:instrText xml:space="preserve"> PAGE   \* MERGEFORMAT </w:instrText>
        </w:r>
        <w:r w:rsidRPr="003309B4">
          <w:rPr>
            <w:rFonts w:ascii="Verdana" w:hAnsi="Verdana"/>
            <w:sz w:val="18"/>
            <w:szCs w:val="18"/>
          </w:rPr>
          <w:fldChar w:fldCharType="separate"/>
        </w:r>
        <w:r w:rsidR="00EA29B8">
          <w:rPr>
            <w:rFonts w:ascii="Verdana" w:hAnsi="Verdana"/>
            <w:noProof/>
            <w:sz w:val="18"/>
            <w:szCs w:val="18"/>
          </w:rPr>
          <w:t>3</w:t>
        </w:r>
        <w:r w:rsidRPr="003309B4">
          <w:rPr>
            <w:rFonts w:ascii="Verdana" w:hAnsi="Verdana"/>
            <w:noProof/>
            <w:sz w:val="18"/>
            <w:szCs w:val="18"/>
          </w:rPr>
          <w:fldChar w:fldCharType="end"/>
        </w:r>
      </w:p>
    </w:sdtContent>
  </w:sdt>
  <w:p w14:paraId="64B75FC4" w14:textId="77777777" w:rsidR="003309B4" w:rsidRDefault="00330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998F5" w14:textId="77777777" w:rsidR="008D6B8B" w:rsidRDefault="008D6B8B">
      <w:r>
        <w:separator/>
      </w:r>
    </w:p>
  </w:footnote>
  <w:footnote w:type="continuationSeparator" w:id="0">
    <w:p w14:paraId="28AFF655" w14:textId="77777777" w:rsidR="008D6B8B" w:rsidRDefault="008D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2CAE" w14:textId="2FAA42C4" w:rsidR="000D2BD1" w:rsidRPr="006129D8" w:rsidRDefault="000D2BD1">
    <w:pPr>
      <w:pStyle w:val="Header"/>
      <w:rPr>
        <w:rFonts w:ascii="Verdana" w:hAnsi="Verdana"/>
        <w:i/>
        <w:sz w:val="16"/>
      </w:rPr>
    </w:pPr>
    <w:r w:rsidRPr="006129D8">
      <w:rPr>
        <w:rFonts w:ascii="Verdana" w:hAnsi="Verdana"/>
        <w:i/>
        <w:sz w:val="16"/>
      </w:rPr>
      <w:t>Turner &amp; Townsend Annual Review</w:t>
    </w:r>
    <w:r w:rsidR="005E7C5C">
      <w:rPr>
        <w:rFonts w:ascii="Verdana" w:hAnsi="Verdana"/>
        <w:i/>
        <w:sz w:val="16"/>
      </w:rPr>
      <w:t xml:space="preserve"> 2019</w:t>
    </w:r>
    <w:r w:rsidR="000B50CA">
      <w:rPr>
        <w:rFonts w:ascii="Verdana" w:hAnsi="Verdana"/>
        <w:i/>
        <w:sz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405"/>
    <w:multiLevelType w:val="hybridMultilevel"/>
    <w:tmpl w:val="CCBE4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D41B6"/>
    <w:multiLevelType w:val="hybridMultilevel"/>
    <w:tmpl w:val="C2B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450C5"/>
    <w:multiLevelType w:val="hybridMultilevel"/>
    <w:tmpl w:val="AB42B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4B09DD"/>
    <w:multiLevelType w:val="multilevel"/>
    <w:tmpl w:val="04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73B68"/>
    <w:multiLevelType w:val="hybridMultilevel"/>
    <w:tmpl w:val="9B768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8F68E8"/>
    <w:multiLevelType w:val="hybridMultilevel"/>
    <w:tmpl w:val="02303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lvlOverride w:ilvl="0">
      <w:lvl w:ilvl="0">
        <w:numFmt w:val="bullet"/>
        <w:lvlText w:val=""/>
        <w:lvlJc w:val="left"/>
        <w:pPr>
          <w:tabs>
            <w:tab w:val="num" w:pos="1800"/>
          </w:tabs>
          <w:ind w:left="1800" w:hanging="360"/>
        </w:pPr>
        <w:rPr>
          <w:rFonts w:ascii="Wingdings" w:hAnsi="Wingdings" w:hint="default"/>
          <w:sz w:val="20"/>
        </w:rPr>
      </w:lvl>
    </w:lvlOverride>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688"/>
    <w:rsid w:val="000045F3"/>
    <w:rsid w:val="0000769D"/>
    <w:rsid w:val="00010AC4"/>
    <w:rsid w:val="00011FFC"/>
    <w:rsid w:val="00016204"/>
    <w:rsid w:val="00024044"/>
    <w:rsid w:val="000307CD"/>
    <w:rsid w:val="0003428D"/>
    <w:rsid w:val="00034B98"/>
    <w:rsid w:val="00066D70"/>
    <w:rsid w:val="00074DAD"/>
    <w:rsid w:val="000827C9"/>
    <w:rsid w:val="000851E0"/>
    <w:rsid w:val="000863A7"/>
    <w:rsid w:val="00092FE8"/>
    <w:rsid w:val="00095B4B"/>
    <w:rsid w:val="000A3737"/>
    <w:rsid w:val="000A37AF"/>
    <w:rsid w:val="000A6C89"/>
    <w:rsid w:val="000B50CA"/>
    <w:rsid w:val="000B5718"/>
    <w:rsid w:val="000D1073"/>
    <w:rsid w:val="000D1AA5"/>
    <w:rsid w:val="000D2BD1"/>
    <w:rsid w:val="000E42C8"/>
    <w:rsid w:val="000E73CB"/>
    <w:rsid w:val="0010093E"/>
    <w:rsid w:val="00100CAE"/>
    <w:rsid w:val="00112A16"/>
    <w:rsid w:val="001201C6"/>
    <w:rsid w:val="00120729"/>
    <w:rsid w:val="001315F1"/>
    <w:rsid w:val="001331A6"/>
    <w:rsid w:val="0014064A"/>
    <w:rsid w:val="00146388"/>
    <w:rsid w:val="00147D0D"/>
    <w:rsid w:val="00153AC8"/>
    <w:rsid w:val="0017127F"/>
    <w:rsid w:val="001856B3"/>
    <w:rsid w:val="001A519B"/>
    <w:rsid w:val="001A5B21"/>
    <w:rsid w:val="001A680D"/>
    <w:rsid w:val="001B0B08"/>
    <w:rsid w:val="001B7FFE"/>
    <w:rsid w:val="001C698E"/>
    <w:rsid w:val="001F4EDC"/>
    <w:rsid w:val="001F7628"/>
    <w:rsid w:val="002058A2"/>
    <w:rsid w:val="0020731F"/>
    <w:rsid w:val="00207896"/>
    <w:rsid w:val="002144BD"/>
    <w:rsid w:val="002154C3"/>
    <w:rsid w:val="00223E8F"/>
    <w:rsid w:val="0023251A"/>
    <w:rsid w:val="00236A38"/>
    <w:rsid w:val="0024247F"/>
    <w:rsid w:val="00247198"/>
    <w:rsid w:val="00254D81"/>
    <w:rsid w:val="00264A9A"/>
    <w:rsid w:val="00264BC7"/>
    <w:rsid w:val="002704D2"/>
    <w:rsid w:val="002708A9"/>
    <w:rsid w:val="002713F0"/>
    <w:rsid w:val="002751EE"/>
    <w:rsid w:val="002759A0"/>
    <w:rsid w:val="00282E06"/>
    <w:rsid w:val="00284F1D"/>
    <w:rsid w:val="00291AEB"/>
    <w:rsid w:val="002A1BB5"/>
    <w:rsid w:val="002D5014"/>
    <w:rsid w:val="002F1762"/>
    <w:rsid w:val="002F3AE4"/>
    <w:rsid w:val="002F3F6A"/>
    <w:rsid w:val="0031070E"/>
    <w:rsid w:val="003309B4"/>
    <w:rsid w:val="00336699"/>
    <w:rsid w:val="003426EE"/>
    <w:rsid w:val="00351292"/>
    <w:rsid w:val="0036687F"/>
    <w:rsid w:val="00380F1A"/>
    <w:rsid w:val="003812F1"/>
    <w:rsid w:val="00394EA0"/>
    <w:rsid w:val="003A34D2"/>
    <w:rsid w:val="003B47C0"/>
    <w:rsid w:val="003C0696"/>
    <w:rsid w:val="003C0BED"/>
    <w:rsid w:val="003C6E17"/>
    <w:rsid w:val="003D2688"/>
    <w:rsid w:val="003D530C"/>
    <w:rsid w:val="003E1567"/>
    <w:rsid w:val="003E6833"/>
    <w:rsid w:val="00401F74"/>
    <w:rsid w:val="004061FE"/>
    <w:rsid w:val="00417A21"/>
    <w:rsid w:val="00425810"/>
    <w:rsid w:val="00426DEE"/>
    <w:rsid w:val="00433850"/>
    <w:rsid w:val="00435C5A"/>
    <w:rsid w:val="00447546"/>
    <w:rsid w:val="00450A96"/>
    <w:rsid w:val="004544F5"/>
    <w:rsid w:val="00454D28"/>
    <w:rsid w:val="004610ED"/>
    <w:rsid w:val="00467D8D"/>
    <w:rsid w:val="0047299F"/>
    <w:rsid w:val="00477064"/>
    <w:rsid w:val="00481001"/>
    <w:rsid w:val="00483F16"/>
    <w:rsid w:val="004875F6"/>
    <w:rsid w:val="004A17F1"/>
    <w:rsid w:val="004A469A"/>
    <w:rsid w:val="004D1EBE"/>
    <w:rsid w:val="004D47A0"/>
    <w:rsid w:val="004E02B8"/>
    <w:rsid w:val="004E2936"/>
    <w:rsid w:val="004E2D99"/>
    <w:rsid w:val="004E54F9"/>
    <w:rsid w:val="00512882"/>
    <w:rsid w:val="00513C98"/>
    <w:rsid w:val="005157F4"/>
    <w:rsid w:val="005171B0"/>
    <w:rsid w:val="00521D0C"/>
    <w:rsid w:val="0052430D"/>
    <w:rsid w:val="00524422"/>
    <w:rsid w:val="005309E8"/>
    <w:rsid w:val="00530FB4"/>
    <w:rsid w:val="00541D8B"/>
    <w:rsid w:val="005433B1"/>
    <w:rsid w:val="00544E2E"/>
    <w:rsid w:val="005455B2"/>
    <w:rsid w:val="005517FE"/>
    <w:rsid w:val="005659FC"/>
    <w:rsid w:val="0056714C"/>
    <w:rsid w:val="0057665A"/>
    <w:rsid w:val="00587412"/>
    <w:rsid w:val="005935A7"/>
    <w:rsid w:val="005A3A2A"/>
    <w:rsid w:val="005B2F44"/>
    <w:rsid w:val="005B58B4"/>
    <w:rsid w:val="005E284A"/>
    <w:rsid w:val="005E7C5C"/>
    <w:rsid w:val="005F31B2"/>
    <w:rsid w:val="005F526B"/>
    <w:rsid w:val="006129D8"/>
    <w:rsid w:val="006160C9"/>
    <w:rsid w:val="00620259"/>
    <w:rsid w:val="00630FE9"/>
    <w:rsid w:val="00633FDA"/>
    <w:rsid w:val="00652723"/>
    <w:rsid w:val="00653BD3"/>
    <w:rsid w:val="00654E1E"/>
    <w:rsid w:val="006551C4"/>
    <w:rsid w:val="00663291"/>
    <w:rsid w:val="006850E2"/>
    <w:rsid w:val="006917BF"/>
    <w:rsid w:val="006940A8"/>
    <w:rsid w:val="00697E58"/>
    <w:rsid w:val="006B4E11"/>
    <w:rsid w:val="006B7FE3"/>
    <w:rsid w:val="006D6744"/>
    <w:rsid w:val="006D6FC7"/>
    <w:rsid w:val="006E5AEA"/>
    <w:rsid w:val="006F036C"/>
    <w:rsid w:val="006F04EB"/>
    <w:rsid w:val="006F0ACF"/>
    <w:rsid w:val="006F371B"/>
    <w:rsid w:val="006F7AA3"/>
    <w:rsid w:val="00705E7F"/>
    <w:rsid w:val="00706081"/>
    <w:rsid w:val="00707F3D"/>
    <w:rsid w:val="00710340"/>
    <w:rsid w:val="00711A1F"/>
    <w:rsid w:val="007151CD"/>
    <w:rsid w:val="00720C00"/>
    <w:rsid w:val="00722691"/>
    <w:rsid w:val="00737861"/>
    <w:rsid w:val="00742069"/>
    <w:rsid w:val="00742570"/>
    <w:rsid w:val="00743995"/>
    <w:rsid w:val="0075360D"/>
    <w:rsid w:val="007549BF"/>
    <w:rsid w:val="00765106"/>
    <w:rsid w:val="007663D5"/>
    <w:rsid w:val="007862A8"/>
    <w:rsid w:val="0079078E"/>
    <w:rsid w:val="00794456"/>
    <w:rsid w:val="007951D4"/>
    <w:rsid w:val="007A1AAD"/>
    <w:rsid w:val="007A2739"/>
    <w:rsid w:val="007C0B6F"/>
    <w:rsid w:val="007C34A8"/>
    <w:rsid w:val="007D0A75"/>
    <w:rsid w:val="007D2F12"/>
    <w:rsid w:val="007D69D4"/>
    <w:rsid w:val="007E7C6A"/>
    <w:rsid w:val="007F232E"/>
    <w:rsid w:val="007F3DF7"/>
    <w:rsid w:val="00805733"/>
    <w:rsid w:val="008149F9"/>
    <w:rsid w:val="00820318"/>
    <w:rsid w:val="008244B1"/>
    <w:rsid w:val="00835880"/>
    <w:rsid w:val="008379BB"/>
    <w:rsid w:val="008403E5"/>
    <w:rsid w:val="00845724"/>
    <w:rsid w:val="00851078"/>
    <w:rsid w:val="008513A3"/>
    <w:rsid w:val="0085727E"/>
    <w:rsid w:val="00866D18"/>
    <w:rsid w:val="0088082A"/>
    <w:rsid w:val="00880D06"/>
    <w:rsid w:val="0088384E"/>
    <w:rsid w:val="00885CFA"/>
    <w:rsid w:val="00896158"/>
    <w:rsid w:val="008A2C76"/>
    <w:rsid w:val="008A4AE2"/>
    <w:rsid w:val="008A76A6"/>
    <w:rsid w:val="008C1328"/>
    <w:rsid w:val="008C36CD"/>
    <w:rsid w:val="008C68B0"/>
    <w:rsid w:val="008D6B8B"/>
    <w:rsid w:val="008E6A9B"/>
    <w:rsid w:val="008F0539"/>
    <w:rsid w:val="00901E6A"/>
    <w:rsid w:val="00906B2E"/>
    <w:rsid w:val="00912C41"/>
    <w:rsid w:val="0091750B"/>
    <w:rsid w:val="00917EFC"/>
    <w:rsid w:val="00927869"/>
    <w:rsid w:val="0095056D"/>
    <w:rsid w:val="0095071F"/>
    <w:rsid w:val="00955743"/>
    <w:rsid w:val="00956E33"/>
    <w:rsid w:val="0096009E"/>
    <w:rsid w:val="009633CB"/>
    <w:rsid w:val="00964847"/>
    <w:rsid w:val="009759A5"/>
    <w:rsid w:val="0098093C"/>
    <w:rsid w:val="00980B6A"/>
    <w:rsid w:val="009975F7"/>
    <w:rsid w:val="009A6783"/>
    <w:rsid w:val="009B119E"/>
    <w:rsid w:val="009C4FB0"/>
    <w:rsid w:val="009F41B6"/>
    <w:rsid w:val="00A01474"/>
    <w:rsid w:val="00A0342D"/>
    <w:rsid w:val="00A103CE"/>
    <w:rsid w:val="00A16FAD"/>
    <w:rsid w:val="00A40755"/>
    <w:rsid w:val="00A455BA"/>
    <w:rsid w:val="00A51D28"/>
    <w:rsid w:val="00A52665"/>
    <w:rsid w:val="00A54467"/>
    <w:rsid w:val="00A629FA"/>
    <w:rsid w:val="00A7236C"/>
    <w:rsid w:val="00A72F77"/>
    <w:rsid w:val="00A96660"/>
    <w:rsid w:val="00AA4CE4"/>
    <w:rsid w:val="00AB7B01"/>
    <w:rsid w:val="00AC0299"/>
    <w:rsid w:val="00AF1BA8"/>
    <w:rsid w:val="00AF6725"/>
    <w:rsid w:val="00B0092B"/>
    <w:rsid w:val="00B044CE"/>
    <w:rsid w:val="00B06E2A"/>
    <w:rsid w:val="00B16836"/>
    <w:rsid w:val="00B22FEB"/>
    <w:rsid w:val="00B31333"/>
    <w:rsid w:val="00B37D4B"/>
    <w:rsid w:val="00B40DFF"/>
    <w:rsid w:val="00B448DA"/>
    <w:rsid w:val="00B449CA"/>
    <w:rsid w:val="00B53A16"/>
    <w:rsid w:val="00B64767"/>
    <w:rsid w:val="00B71ACA"/>
    <w:rsid w:val="00B81226"/>
    <w:rsid w:val="00B82C32"/>
    <w:rsid w:val="00B87E04"/>
    <w:rsid w:val="00B91C82"/>
    <w:rsid w:val="00BA3B67"/>
    <w:rsid w:val="00BB49A5"/>
    <w:rsid w:val="00BB55F6"/>
    <w:rsid w:val="00BC59C7"/>
    <w:rsid w:val="00BC7195"/>
    <w:rsid w:val="00BC79FB"/>
    <w:rsid w:val="00BC7EC1"/>
    <w:rsid w:val="00BD0319"/>
    <w:rsid w:val="00BD5311"/>
    <w:rsid w:val="00BF0068"/>
    <w:rsid w:val="00BF11C8"/>
    <w:rsid w:val="00BF4132"/>
    <w:rsid w:val="00C03558"/>
    <w:rsid w:val="00C04A80"/>
    <w:rsid w:val="00C173DC"/>
    <w:rsid w:val="00C25D26"/>
    <w:rsid w:val="00C305B2"/>
    <w:rsid w:val="00C317A1"/>
    <w:rsid w:val="00C36F73"/>
    <w:rsid w:val="00C4701A"/>
    <w:rsid w:val="00C55B9C"/>
    <w:rsid w:val="00C61F41"/>
    <w:rsid w:val="00C67EA5"/>
    <w:rsid w:val="00C8162E"/>
    <w:rsid w:val="00CB17FA"/>
    <w:rsid w:val="00CB547A"/>
    <w:rsid w:val="00CD36B5"/>
    <w:rsid w:val="00CD49ED"/>
    <w:rsid w:val="00CE04BB"/>
    <w:rsid w:val="00CE6847"/>
    <w:rsid w:val="00CF32A5"/>
    <w:rsid w:val="00D0438B"/>
    <w:rsid w:val="00D07A3C"/>
    <w:rsid w:val="00D17F13"/>
    <w:rsid w:val="00D21761"/>
    <w:rsid w:val="00D249DB"/>
    <w:rsid w:val="00D315F1"/>
    <w:rsid w:val="00D62643"/>
    <w:rsid w:val="00D734E8"/>
    <w:rsid w:val="00D83236"/>
    <w:rsid w:val="00D83414"/>
    <w:rsid w:val="00D91D9F"/>
    <w:rsid w:val="00D94ABB"/>
    <w:rsid w:val="00D969D5"/>
    <w:rsid w:val="00D96D31"/>
    <w:rsid w:val="00DB13A7"/>
    <w:rsid w:val="00DC3341"/>
    <w:rsid w:val="00DC6DC4"/>
    <w:rsid w:val="00DE2BA6"/>
    <w:rsid w:val="00DF009E"/>
    <w:rsid w:val="00DF1B4B"/>
    <w:rsid w:val="00E01CF8"/>
    <w:rsid w:val="00E22BD5"/>
    <w:rsid w:val="00E25FC1"/>
    <w:rsid w:val="00E271AD"/>
    <w:rsid w:val="00E27893"/>
    <w:rsid w:val="00E65E61"/>
    <w:rsid w:val="00E703E5"/>
    <w:rsid w:val="00E723DF"/>
    <w:rsid w:val="00E7455C"/>
    <w:rsid w:val="00EA29B8"/>
    <w:rsid w:val="00EA4266"/>
    <w:rsid w:val="00EB0EDA"/>
    <w:rsid w:val="00ED0883"/>
    <w:rsid w:val="00ED2CFE"/>
    <w:rsid w:val="00EF7BB8"/>
    <w:rsid w:val="00F023F6"/>
    <w:rsid w:val="00F1655D"/>
    <w:rsid w:val="00F23563"/>
    <w:rsid w:val="00F26A8A"/>
    <w:rsid w:val="00F3098F"/>
    <w:rsid w:val="00F3203D"/>
    <w:rsid w:val="00F32D10"/>
    <w:rsid w:val="00F34B1D"/>
    <w:rsid w:val="00F34CBE"/>
    <w:rsid w:val="00F42BB2"/>
    <w:rsid w:val="00F4592D"/>
    <w:rsid w:val="00F55B46"/>
    <w:rsid w:val="00F70399"/>
    <w:rsid w:val="00F77B1F"/>
    <w:rsid w:val="00F81E7A"/>
    <w:rsid w:val="00F83A33"/>
    <w:rsid w:val="00F8641F"/>
    <w:rsid w:val="00FB20B1"/>
    <w:rsid w:val="00FC166A"/>
    <w:rsid w:val="00FC51BA"/>
    <w:rsid w:val="00FE45E3"/>
    <w:rsid w:val="00FF2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37A27"/>
  <w15:docId w15:val="{7E66E3F7-EC43-42F9-921F-B3E04EE4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63A7"/>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63A7"/>
    <w:rPr>
      <w:u w:val="single"/>
    </w:rPr>
  </w:style>
  <w:style w:type="paragraph" w:customStyle="1" w:styleId="HeaderFooter">
    <w:name w:val="Header &amp; Footer"/>
    <w:rsid w:val="000863A7"/>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paragraph" w:customStyle="1" w:styleId="Body">
    <w:name w:val="Body"/>
    <w:rsid w:val="000863A7"/>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yperlink0">
    <w:name w:val="Hyperlink.0"/>
    <w:rsid w:val="000863A7"/>
    <w:rPr>
      <w:color w:val="0000FF"/>
      <w:u w:val="single" w:color="0000FF"/>
    </w:rPr>
  </w:style>
  <w:style w:type="paragraph" w:customStyle="1" w:styleId="BTBold">
    <w:name w:val="BT_Bold"/>
    <w:rsid w:val="000863A7"/>
    <w:pPr>
      <w:pBdr>
        <w:top w:val="nil"/>
        <w:left w:val="nil"/>
        <w:bottom w:val="nil"/>
        <w:right w:val="nil"/>
        <w:between w:val="nil"/>
        <w:bar w:val="nil"/>
      </w:pBdr>
      <w:spacing w:after="240" w:line="360" w:lineRule="auto"/>
      <w:jc w:val="both"/>
    </w:pPr>
    <w:rPr>
      <w:rFonts w:ascii="Verdana" w:hAnsi="Arial Unicode MS" w:cs="Arial Unicode MS"/>
      <w:b/>
      <w:bCs/>
      <w:color w:val="000000"/>
      <w:sz w:val="18"/>
      <w:szCs w:val="18"/>
      <w:u w:color="000000"/>
      <w:bdr w:val="nil"/>
      <w:lang w:val="en-US" w:eastAsia="en-US"/>
    </w:rPr>
  </w:style>
  <w:style w:type="character" w:styleId="FollowedHyperlink">
    <w:name w:val="FollowedHyperlink"/>
    <w:uiPriority w:val="99"/>
    <w:semiHidden/>
    <w:unhideWhenUsed/>
    <w:rsid w:val="00E271AD"/>
    <w:rPr>
      <w:color w:val="FF00FF"/>
      <w:u w:val="single"/>
    </w:rPr>
  </w:style>
  <w:style w:type="paragraph" w:styleId="BalloonText">
    <w:name w:val="Balloon Text"/>
    <w:basedOn w:val="Normal"/>
    <w:link w:val="BalloonTextChar"/>
    <w:uiPriority w:val="99"/>
    <w:semiHidden/>
    <w:unhideWhenUsed/>
    <w:rsid w:val="000307CD"/>
    <w:rPr>
      <w:rFonts w:ascii="Lucida Grande" w:hAnsi="Lucida Grande"/>
      <w:sz w:val="18"/>
      <w:szCs w:val="18"/>
      <w:bdr w:val="none" w:sz="0" w:space="0" w:color="auto"/>
    </w:rPr>
  </w:style>
  <w:style w:type="character" w:customStyle="1" w:styleId="BalloonTextChar">
    <w:name w:val="Balloon Text Char"/>
    <w:link w:val="BalloonText"/>
    <w:uiPriority w:val="99"/>
    <w:semiHidden/>
    <w:rsid w:val="000307CD"/>
    <w:rPr>
      <w:rFonts w:ascii="Lucida Grande" w:hAnsi="Lucida Grande" w:cs="Lucida Grande"/>
      <w:sz w:val="18"/>
      <w:szCs w:val="18"/>
      <w:lang w:val="en-US"/>
    </w:rPr>
  </w:style>
  <w:style w:type="character" w:customStyle="1" w:styleId="apple-converted-space">
    <w:name w:val="apple-converted-space"/>
    <w:basedOn w:val="DefaultParagraphFont"/>
    <w:rsid w:val="008A76A6"/>
  </w:style>
  <w:style w:type="paragraph" w:styleId="Header">
    <w:name w:val="header"/>
    <w:basedOn w:val="Normal"/>
    <w:link w:val="HeaderChar"/>
    <w:uiPriority w:val="99"/>
    <w:unhideWhenUsed/>
    <w:rsid w:val="006F7AA3"/>
    <w:pPr>
      <w:tabs>
        <w:tab w:val="center" w:pos="4513"/>
        <w:tab w:val="right" w:pos="9026"/>
      </w:tabs>
    </w:pPr>
    <w:rPr>
      <w:bdr w:val="none" w:sz="0" w:space="0" w:color="auto"/>
    </w:rPr>
  </w:style>
  <w:style w:type="character" w:customStyle="1" w:styleId="HeaderChar">
    <w:name w:val="Header Char"/>
    <w:link w:val="Header"/>
    <w:uiPriority w:val="99"/>
    <w:rsid w:val="006F7AA3"/>
    <w:rPr>
      <w:sz w:val="24"/>
      <w:szCs w:val="24"/>
      <w:lang w:val="en-US"/>
    </w:rPr>
  </w:style>
  <w:style w:type="paragraph" w:styleId="Footer">
    <w:name w:val="footer"/>
    <w:basedOn w:val="Normal"/>
    <w:link w:val="FooterChar"/>
    <w:uiPriority w:val="99"/>
    <w:unhideWhenUsed/>
    <w:rsid w:val="006F7AA3"/>
    <w:pPr>
      <w:tabs>
        <w:tab w:val="center" w:pos="4513"/>
        <w:tab w:val="right" w:pos="9026"/>
      </w:tabs>
    </w:pPr>
    <w:rPr>
      <w:bdr w:val="none" w:sz="0" w:space="0" w:color="auto"/>
    </w:rPr>
  </w:style>
  <w:style w:type="character" w:customStyle="1" w:styleId="FooterChar">
    <w:name w:val="Footer Char"/>
    <w:link w:val="Footer"/>
    <w:uiPriority w:val="99"/>
    <w:rsid w:val="006F7AA3"/>
    <w:rPr>
      <w:sz w:val="24"/>
      <w:szCs w:val="24"/>
      <w:lang w:val="en-US"/>
    </w:rPr>
  </w:style>
  <w:style w:type="paragraph" w:styleId="ListParagraph">
    <w:name w:val="List Paragraph"/>
    <w:basedOn w:val="Normal"/>
    <w:uiPriority w:val="34"/>
    <w:qFormat/>
    <w:rsid w:val="006F7AA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Arial" w:eastAsia="Calibri" w:hAnsi="Arial"/>
      <w:sz w:val="20"/>
      <w:szCs w:val="22"/>
      <w:bdr w:val="none" w:sz="0" w:space="0" w:color="auto"/>
      <w:lang w:val="en-GB"/>
    </w:rPr>
  </w:style>
  <w:style w:type="character" w:styleId="CommentReference">
    <w:name w:val="annotation reference"/>
    <w:uiPriority w:val="99"/>
    <w:semiHidden/>
    <w:unhideWhenUsed/>
    <w:rsid w:val="006940A8"/>
    <w:rPr>
      <w:sz w:val="16"/>
      <w:szCs w:val="16"/>
    </w:rPr>
  </w:style>
  <w:style w:type="paragraph" w:styleId="CommentText">
    <w:name w:val="annotation text"/>
    <w:basedOn w:val="Normal"/>
    <w:link w:val="CommentTextChar"/>
    <w:uiPriority w:val="99"/>
    <w:semiHidden/>
    <w:unhideWhenUsed/>
    <w:rsid w:val="006940A8"/>
    <w:rPr>
      <w:sz w:val="20"/>
      <w:szCs w:val="20"/>
      <w:bdr w:val="none" w:sz="0" w:space="0" w:color="auto"/>
    </w:rPr>
  </w:style>
  <w:style w:type="character" w:customStyle="1" w:styleId="CommentTextChar">
    <w:name w:val="Comment Text Char"/>
    <w:link w:val="CommentText"/>
    <w:uiPriority w:val="99"/>
    <w:semiHidden/>
    <w:rsid w:val="006940A8"/>
    <w:rPr>
      <w:lang w:val="en-US"/>
    </w:rPr>
  </w:style>
  <w:style w:type="paragraph" w:styleId="CommentSubject">
    <w:name w:val="annotation subject"/>
    <w:basedOn w:val="CommentText"/>
    <w:next w:val="CommentText"/>
    <w:link w:val="CommentSubjectChar"/>
    <w:uiPriority w:val="99"/>
    <w:semiHidden/>
    <w:unhideWhenUsed/>
    <w:rsid w:val="006940A8"/>
    <w:rPr>
      <w:b/>
      <w:bCs/>
    </w:rPr>
  </w:style>
  <w:style w:type="character" w:customStyle="1" w:styleId="CommentSubjectChar">
    <w:name w:val="Comment Subject Char"/>
    <w:link w:val="CommentSubject"/>
    <w:uiPriority w:val="99"/>
    <w:semiHidden/>
    <w:rsid w:val="006940A8"/>
    <w:rPr>
      <w:b/>
      <w:bCs/>
      <w:lang w:val="en-US"/>
    </w:rPr>
  </w:style>
  <w:style w:type="character" w:customStyle="1" w:styleId="UnresolvedMention1">
    <w:name w:val="Unresolved Mention1"/>
    <w:basedOn w:val="DefaultParagraphFont"/>
    <w:uiPriority w:val="99"/>
    <w:semiHidden/>
    <w:unhideWhenUsed/>
    <w:rsid w:val="0085727E"/>
    <w:rPr>
      <w:color w:val="605E5C"/>
      <w:shd w:val="clear" w:color="auto" w:fill="E1DFDD"/>
    </w:rPr>
  </w:style>
  <w:style w:type="paragraph" w:styleId="Revision">
    <w:name w:val="Revision"/>
    <w:hidden/>
    <w:uiPriority w:val="99"/>
    <w:semiHidden/>
    <w:rsid w:val="00F32D10"/>
    <w:rPr>
      <w:sz w:val="24"/>
      <w:szCs w:val="24"/>
      <w:bdr w:val="nil"/>
      <w:lang w:val="en-US" w:eastAsia="en-US"/>
    </w:rPr>
  </w:style>
  <w:style w:type="table" w:styleId="TableGrid">
    <w:name w:val="Table Grid"/>
    <w:basedOn w:val="TableNormal"/>
    <w:uiPriority w:val="59"/>
    <w:rsid w:val="00F3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B5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7606">
      <w:bodyDiv w:val="1"/>
      <w:marLeft w:val="0"/>
      <w:marRight w:val="0"/>
      <w:marTop w:val="0"/>
      <w:marBottom w:val="0"/>
      <w:divBdr>
        <w:top w:val="none" w:sz="0" w:space="0" w:color="auto"/>
        <w:left w:val="none" w:sz="0" w:space="0" w:color="auto"/>
        <w:bottom w:val="none" w:sz="0" w:space="0" w:color="auto"/>
        <w:right w:val="none" w:sz="0" w:space="0" w:color="auto"/>
      </w:divBdr>
    </w:div>
    <w:div w:id="382602103">
      <w:bodyDiv w:val="1"/>
      <w:marLeft w:val="0"/>
      <w:marRight w:val="0"/>
      <w:marTop w:val="0"/>
      <w:marBottom w:val="0"/>
      <w:divBdr>
        <w:top w:val="none" w:sz="0" w:space="0" w:color="auto"/>
        <w:left w:val="none" w:sz="0" w:space="0" w:color="auto"/>
        <w:bottom w:val="none" w:sz="0" w:space="0" w:color="auto"/>
        <w:right w:val="none" w:sz="0" w:space="0" w:color="auto"/>
      </w:divBdr>
    </w:div>
    <w:div w:id="489490509">
      <w:bodyDiv w:val="1"/>
      <w:marLeft w:val="0"/>
      <w:marRight w:val="0"/>
      <w:marTop w:val="0"/>
      <w:marBottom w:val="0"/>
      <w:divBdr>
        <w:top w:val="none" w:sz="0" w:space="0" w:color="auto"/>
        <w:left w:val="none" w:sz="0" w:space="0" w:color="auto"/>
        <w:bottom w:val="none" w:sz="0" w:space="0" w:color="auto"/>
        <w:right w:val="none" w:sz="0" w:space="0" w:color="auto"/>
      </w:divBdr>
    </w:div>
    <w:div w:id="550269996">
      <w:bodyDiv w:val="1"/>
      <w:marLeft w:val="0"/>
      <w:marRight w:val="0"/>
      <w:marTop w:val="0"/>
      <w:marBottom w:val="0"/>
      <w:divBdr>
        <w:top w:val="none" w:sz="0" w:space="0" w:color="auto"/>
        <w:left w:val="none" w:sz="0" w:space="0" w:color="auto"/>
        <w:bottom w:val="none" w:sz="0" w:space="0" w:color="auto"/>
        <w:right w:val="none" w:sz="0" w:space="0" w:color="auto"/>
      </w:divBdr>
    </w:div>
    <w:div w:id="830173058">
      <w:bodyDiv w:val="1"/>
      <w:marLeft w:val="0"/>
      <w:marRight w:val="0"/>
      <w:marTop w:val="0"/>
      <w:marBottom w:val="0"/>
      <w:divBdr>
        <w:top w:val="none" w:sz="0" w:space="0" w:color="auto"/>
        <w:left w:val="none" w:sz="0" w:space="0" w:color="auto"/>
        <w:bottom w:val="none" w:sz="0" w:space="0" w:color="auto"/>
        <w:right w:val="none" w:sz="0" w:space="0" w:color="auto"/>
      </w:divBdr>
    </w:div>
    <w:div w:id="837186034">
      <w:bodyDiv w:val="1"/>
      <w:marLeft w:val="0"/>
      <w:marRight w:val="0"/>
      <w:marTop w:val="0"/>
      <w:marBottom w:val="0"/>
      <w:divBdr>
        <w:top w:val="none" w:sz="0" w:space="0" w:color="auto"/>
        <w:left w:val="none" w:sz="0" w:space="0" w:color="auto"/>
        <w:bottom w:val="none" w:sz="0" w:space="0" w:color="auto"/>
        <w:right w:val="none" w:sz="0" w:space="0" w:color="auto"/>
      </w:divBdr>
    </w:div>
    <w:div w:id="845436250">
      <w:bodyDiv w:val="1"/>
      <w:marLeft w:val="0"/>
      <w:marRight w:val="0"/>
      <w:marTop w:val="0"/>
      <w:marBottom w:val="0"/>
      <w:divBdr>
        <w:top w:val="none" w:sz="0" w:space="0" w:color="auto"/>
        <w:left w:val="none" w:sz="0" w:space="0" w:color="auto"/>
        <w:bottom w:val="none" w:sz="0" w:space="0" w:color="auto"/>
        <w:right w:val="none" w:sz="0" w:space="0" w:color="auto"/>
      </w:divBdr>
    </w:div>
    <w:div w:id="902519720">
      <w:bodyDiv w:val="1"/>
      <w:marLeft w:val="0"/>
      <w:marRight w:val="0"/>
      <w:marTop w:val="0"/>
      <w:marBottom w:val="0"/>
      <w:divBdr>
        <w:top w:val="none" w:sz="0" w:space="0" w:color="auto"/>
        <w:left w:val="none" w:sz="0" w:space="0" w:color="auto"/>
        <w:bottom w:val="none" w:sz="0" w:space="0" w:color="auto"/>
        <w:right w:val="none" w:sz="0" w:space="0" w:color="auto"/>
      </w:divBdr>
    </w:div>
    <w:div w:id="1009065665">
      <w:bodyDiv w:val="1"/>
      <w:marLeft w:val="0"/>
      <w:marRight w:val="0"/>
      <w:marTop w:val="0"/>
      <w:marBottom w:val="0"/>
      <w:divBdr>
        <w:top w:val="none" w:sz="0" w:space="0" w:color="auto"/>
        <w:left w:val="none" w:sz="0" w:space="0" w:color="auto"/>
        <w:bottom w:val="none" w:sz="0" w:space="0" w:color="auto"/>
        <w:right w:val="none" w:sz="0" w:space="0" w:color="auto"/>
      </w:divBdr>
    </w:div>
    <w:div w:id="1308633112">
      <w:bodyDiv w:val="1"/>
      <w:marLeft w:val="0"/>
      <w:marRight w:val="0"/>
      <w:marTop w:val="0"/>
      <w:marBottom w:val="0"/>
      <w:divBdr>
        <w:top w:val="none" w:sz="0" w:space="0" w:color="auto"/>
        <w:left w:val="none" w:sz="0" w:space="0" w:color="auto"/>
        <w:bottom w:val="none" w:sz="0" w:space="0" w:color="auto"/>
        <w:right w:val="none" w:sz="0" w:space="0" w:color="auto"/>
      </w:divBdr>
    </w:div>
    <w:div w:id="1338996066">
      <w:bodyDiv w:val="1"/>
      <w:marLeft w:val="0"/>
      <w:marRight w:val="0"/>
      <w:marTop w:val="0"/>
      <w:marBottom w:val="0"/>
      <w:divBdr>
        <w:top w:val="none" w:sz="0" w:space="0" w:color="auto"/>
        <w:left w:val="none" w:sz="0" w:space="0" w:color="auto"/>
        <w:bottom w:val="none" w:sz="0" w:space="0" w:color="auto"/>
        <w:right w:val="none" w:sz="0" w:space="0" w:color="auto"/>
      </w:divBdr>
    </w:div>
    <w:div w:id="1377466863">
      <w:bodyDiv w:val="1"/>
      <w:marLeft w:val="0"/>
      <w:marRight w:val="0"/>
      <w:marTop w:val="0"/>
      <w:marBottom w:val="0"/>
      <w:divBdr>
        <w:top w:val="none" w:sz="0" w:space="0" w:color="auto"/>
        <w:left w:val="none" w:sz="0" w:space="0" w:color="auto"/>
        <w:bottom w:val="none" w:sz="0" w:space="0" w:color="auto"/>
        <w:right w:val="none" w:sz="0" w:space="0" w:color="auto"/>
      </w:divBdr>
    </w:div>
    <w:div w:id="1738212274">
      <w:bodyDiv w:val="1"/>
      <w:marLeft w:val="0"/>
      <w:marRight w:val="0"/>
      <w:marTop w:val="0"/>
      <w:marBottom w:val="0"/>
      <w:divBdr>
        <w:top w:val="none" w:sz="0" w:space="0" w:color="auto"/>
        <w:left w:val="none" w:sz="0" w:space="0" w:color="auto"/>
        <w:bottom w:val="none" w:sz="0" w:space="0" w:color="auto"/>
        <w:right w:val="none" w:sz="0" w:space="0" w:color="auto"/>
      </w:divBdr>
    </w:div>
    <w:div w:id="183691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nerandtownse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urntown@camargue.uk" TargetMode="External"/><Relationship Id="rId4" Type="http://schemas.openxmlformats.org/officeDocument/2006/relationships/settings" Target="settings.xml"/><Relationship Id="rId9" Type="http://schemas.openxmlformats.org/officeDocument/2006/relationships/hyperlink" Target="http://www.turnerandtownsend.com/annual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08D5-4C07-4D51-A701-D1EE1600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738</Words>
  <Characters>4211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4940</CharactersWithSpaces>
  <SharedDoc>false</SharedDoc>
  <HLinks>
    <vt:vector size="12" baseType="variant">
      <vt:variant>
        <vt:i4>4390920</vt:i4>
      </vt:variant>
      <vt:variant>
        <vt:i4>3</vt:i4>
      </vt:variant>
      <vt:variant>
        <vt:i4>0</vt:i4>
      </vt:variant>
      <vt:variant>
        <vt:i4>5</vt:i4>
      </vt:variant>
      <vt:variant>
        <vt:lpwstr>http://www.turnerandtownsend.com/</vt:lpwstr>
      </vt:variant>
      <vt:variant>
        <vt:lpwstr/>
      </vt:variant>
      <vt:variant>
        <vt:i4>3604488</vt:i4>
      </vt:variant>
      <vt:variant>
        <vt:i4>0</vt:i4>
      </vt:variant>
      <vt:variant>
        <vt:i4>0</vt:i4>
      </vt:variant>
      <vt:variant>
        <vt:i4>5</vt:i4>
      </vt:variant>
      <vt:variant>
        <vt:lpwstr>mailto:ebarnes@camargue.uk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EBarnes</dc:creator>
  <cp:lastModifiedBy>FACCI Events NSW</cp:lastModifiedBy>
  <cp:revision>2</cp:revision>
  <cp:lastPrinted>2019-07-18T10:10:00Z</cp:lastPrinted>
  <dcterms:created xsi:type="dcterms:W3CDTF">2020-09-22T00:30:00Z</dcterms:created>
  <dcterms:modified xsi:type="dcterms:W3CDTF">2020-09-22T00:30:00Z</dcterms:modified>
</cp:coreProperties>
</file>