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30" w:rsidRPr="003306B8" w:rsidRDefault="00AE1530" w:rsidP="00AE1530">
      <w:pPr>
        <w:pStyle w:val="Documenttitle"/>
        <w:rPr>
          <w:rFonts w:ascii="Times New Roman" w:eastAsia="Arial Unicode MS" w:hAnsi="Times New Roman"/>
          <w:b w:val="0"/>
          <w:bCs w:val="0"/>
          <w:color w:val="auto"/>
          <w:sz w:val="24"/>
          <w:szCs w:val="24"/>
          <w:bdr w:val="nil"/>
          <w:lang w:val="cs-CZ"/>
        </w:rPr>
      </w:pPr>
    </w:p>
    <w:p w:rsidR="00AE1530" w:rsidRPr="003306B8" w:rsidRDefault="00AE1530" w:rsidP="00AE1530">
      <w:pPr>
        <w:pStyle w:val="Documenttitle"/>
        <w:rPr>
          <w:color w:val="808080" w:themeColor="background1" w:themeShade="80"/>
          <w:sz w:val="18"/>
          <w:lang w:val="cs-CZ"/>
        </w:rPr>
      </w:pPr>
      <w:r w:rsidRPr="003306B8">
        <w:rPr>
          <w:color w:val="808080" w:themeColor="background1" w:themeShade="80"/>
          <w:lang w:val="cs-CZ"/>
        </w:rPr>
        <w:t>Tisková zpráva</w:t>
      </w:r>
    </w:p>
    <w:p w:rsidR="00AE1530" w:rsidRDefault="00AE1530" w:rsidP="00AE1530">
      <w:pPr>
        <w:pStyle w:val="TextA"/>
        <w:rPr>
          <w:rFonts w:ascii="Verdana" w:hAnsi="Verdana"/>
          <w:b/>
          <w:bCs/>
          <w:sz w:val="28"/>
          <w:szCs w:val="28"/>
        </w:rPr>
      </w:pPr>
    </w:p>
    <w:p w:rsidR="002564BE" w:rsidRDefault="002564BE" w:rsidP="002564BE">
      <w:pPr>
        <w:pStyle w:val="NoSpacing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36"/>
          <w:szCs w:val="36"/>
          <w:lang w:val="cs-CZ"/>
        </w:rPr>
        <w:t xml:space="preserve">Deloitte Money </w:t>
      </w:r>
      <w:proofErr w:type="spellStart"/>
      <w:r>
        <w:rPr>
          <w:rFonts w:ascii="Calibri" w:hAnsi="Calibri" w:cs="Calibri"/>
          <w:b/>
          <w:sz w:val="36"/>
          <w:szCs w:val="36"/>
          <w:lang w:val="cs-CZ"/>
        </w:rPr>
        <w:t>League</w:t>
      </w:r>
      <w:proofErr w:type="spellEnd"/>
      <w:r>
        <w:rPr>
          <w:rFonts w:ascii="Calibri" w:hAnsi="Calibri" w:cs="Calibri"/>
          <w:b/>
          <w:sz w:val="36"/>
          <w:szCs w:val="36"/>
          <w:lang w:val="cs-CZ"/>
        </w:rPr>
        <w:t>:</w:t>
      </w:r>
      <w:r w:rsidR="00824FEC">
        <w:rPr>
          <w:rFonts w:ascii="Calibri" w:hAnsi="Calibri" w:cs="Calibri"/>
          <w:b/>
          <w:sz w:val="36"/>
          <w:szCs w:val="36"/>
          <w:lang w:val="cs-CZ"/>
        </w:rPr>
        <w:t xml:space="preserve"> Největší f</w:t>
      </w:r>
      <w:r>
        <w:rPr>
          <w:rFonts w:ascii="Calibri" w:hAnsi="Calibri" w:cs="Calibri"/>
          <w:b/>
          <w:sz w:val="36"/>
          <w:szCs w:val="36"/>
          <w:lang w:val="cs-CZ"/>
        </w:rPr>
        <w:t xml:space="preserve">otbalové kluby </w:t>
      </w:r>
      <w:r w:rsidR="00824FEC">
        <w:rPr>
          <w:rFonts w:ascii="Calibri" w:hAnsi="Calibri" w:cs="Calibri"/>
          <w:b/>
          <w:sz w:val="36"/>
          <w:szCs w:val="36"/>
          <w:lang w:val="cs-CZ"/>
        </w:rPr>
        <w:t>budou mít na </w:t>
      </w:r>
      <w:r>
        <w:rPr>
          <w:rFonts w:ascii="Calibri" w:hAnsi="Calibri" w:cs="Calibri"/>
          <w:b/>
          <w:sz w:val="36"/>
          <w:szCs w:val="36"/>
          <w:lang w:val="cs-CZ"/>
        </w:rPr>
        <w:t>konci sezony</w:t>
      </w:r>
      <w:r w:rsidR="00824FEC">
        <w:rPr>
          <w:rFonts w:ascii="Calibri" w:hAnsi="Calibri" w:cs="Calibri"/>
          <w:b/>
          <w:sz w:val="36"/>
          <w:szCs w:val="36"/>
          <w:lang w:val="cs-CZ"/>
        </w:rPr>
        <w:t xml:space="preserve"> z tržeb</w:t>
      </w:r>
      <w:r>
        <w:rPr>
          <w:rFonts w:ascii="Calibri" w:hAnsi="Calibri" w:cs="Calibri"/>
          <w:b/>
          <w:sz w:val="36"/>
          <w:szCs w:val="36"/>
          <w:lang w:val="cs-CZ"/>
        </w:rPr>
        <w:t xml:space="preserve"> o 2 miliardy eur</w:t>
      </w:r>
      <w:r w:rsidR="00824FEC">
        <w:rPr>
          <w:rFonts w:ascii="Calibri" w:hAnsi="Calibri" w:cs="Calibri"/>
          <w:b/>
          <w:sz w:val="36"/>
          <w:szCs w:val="36"/>
          <w:lang w:val="cs-CZ"/>
        </w:rPr>
        <w:t xml:space="preserve"> méně</w:t>
      </w:r>
    </w:p>
    <w:p w:rsidR="002564BE" w:rsidRPr="002564BE" w:rsidRDefault="002564BE" w:rsidP="002564BE">
      <w:pPr>
        <w:pStyle w:val="NoSpacing"/>
        <w:rPr>
          <w:rFonts w:ascii="Calibri" w:hAnsi="Calibri" w:cs="Calibri"/>
          <w:b/>
          <w:sz w:val="24"/>
          <w:szCs w:val="36"/>
          <w:lang w:val="cs-CZ"/>
        </w:rPr>
      </w:pPr>
    </w:p>
    <w:p w:rsidR="00824FEC" w:rsidRDefault="002564BE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2564BE">
        <w:rPr>
          <w:rFonts w:ascii="Calibri" w:hAnsi="Calibri" w:cs="Calibri"/>
          <w:b/>
          <w:sz w:val="22"/>
          <w:szCs w:val="22"/>
          <w:lang w:val="cs-CZ"/>
        </w:rPr>
        <w:t xml:space="preserve">Londýn a Praha, </w:t>
      </w:r>
      <w:r>
        <w:rPr>
          <w:rFonts w:ascii="Calibri" w:hAnsi="Calibri" w:cs="Calibri"/>
          <w:b/>
          <w:sz w:val="22"/>
          <w:szCs w:val="22"/>
          <w:lang w:val="cs-CZ"/>
        </w:rPr>
        <w:t>26</w:t>
      </w:r>
      <w:r w:rsidRPr="002564BE">
        <w:rPr>
          <w:rFonts w:ascii="Calibri" w:hAnsi="Calibri" w:cs="Calibri"/>
          <w:b/>
          <w:sz w:val="22"/>
          <w:szCs w:val="22"/>
          <w:lang w:val="cs-CZ"/>
        </w:rPr>
        <w:t>.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ledna 2021</w:t>
      </w:r>
      <w:r w:rsidRPr="002564BE">
        <w:rPr>
          <w:rFonts w:ascii="Calibri" w:hAnsi="Calibri" w:cs="Calibri"/>
          <w:sz w:val="22"/>
          <w:szCs w:val="22"/>
          <w:lang w:val="cs-CZ"/>
        </w:rPr>
        <w:t xml:space="preserve"> – </w:t>
      </w:r>
      <w:r w:rsidR="00B7734A">
        <w:rPr>
          <w:rFonts w:ascii="Calibri" w:hAnsi="Calibri" w:cs="Calibri"/>
          <w:sz w:val="22"/>
          <w:szCs w:val="22"/>
          <w:lang w:val="cs-CZ"/>
        </w:rPr>
        <w:t xml:space="preserve">Uplynulou fotbalovou sezónu výrazně zasáhla pandemická opatření. 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Prvních dvacet klubů žebříčku </w:t>
      </w:r>
      <w:r w:rsidR="00B7734A">
        <w:rPr>
          <w:rFonts w:ascii="Calibri" w:hAnsi="Calibri" w:cs="Calibri"/>
          <w:sz w:val="22"/>
          <w:szCs w:val="22"/>
          <w:lang w:val="cs-CZ"/>
        </w:rPr>
        <w:t>v sezóně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 20</w:t>
      </w:r>
      <w:r w:rsidR="00B7734A">
        <w:rPr>
          <w:rFonts w:ascii="Calibri" w:hAnsi="Calibri" w:cs="Calibri"/>
          <w:sz w:val="22"/>
          <w:szCs w:val="22"/>
          <w:lang w:val="cs-CZ"/>
        </w:rPr>
        <w:t>19/20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7734A">
        <w:rPr>
          <w:rFonts w:ascii="Calibri" w:hAnsi="Calibri" w:cs="Calibri"/>
          <w:sz w:val="22"/>
          <w:szCs w:val="22"/>
          <w:lang w:val="cs-CZ"/>
        </w:rPr>
        <w:t xml:space="preserve">utržilo 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dohromady </w:t>
      </w:r>
      <w:r w:rsidR="00B7734A">
        <w:rPr>
          <w:rFonts w:ascii="Calibri" w:hAnsi="Calibri" w:cs="Calibri"/>
          <w:sz w:val="22"/>
          <w:szCs w:val="22"/>
          <w:lang w:val="cs-CZ"/>
        </w:rPr>
        <w:t xml:space="preserve">8,2 miliardy eur, 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v přepočtu </w:t>
      </w:r>
      <w:r w:rsidR="008D610F">
        <w:rPr>
          <w:rFonts w:ascii="Calibri" w:hAnsi="Calibri" w:cs="Calibri"/>
          <w:sz w:val="22"/>
          <w:szCs w:val="22"/>
          <w:lang w:val="cs-CZ"/>
        </w:rPr>
        <w:t>213,1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 miliard</w:t>
      </w:r>
      <w:r w:rsidR="008D610F">
        <w:rPr>
          <w:rFonts w:ascii="Calibri" w:hAnsi="Calibri" w:cs="Calibri"/>
          <w:sz w:val="22"/>
          <w:szCs w:val="22"/>
          <w:lang w:val="cs-CZ"/>
        </w:rPr>
        <w:t>y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 korun. </w:t>
      </w:r>
      <w:r w:rsidR="00B7734A">
        <w:rPr>
          <w:rFonts w:ascii="Calibri" w:hAnsi="Calibri" w:cs="Calibri"/>
          <w:sz w:val="22"/>
          <w:szCs w:val="22"/>
          <w:lang w:val="cs-CZ"/>
        </w:rPr>
        <w:t>To</w:t>
      </w:r>
      <w:r w:rsidR="00C85FC4">
        <w:rPr>
          <w:rFonts w:ascii="Calibri" w:hAnsi="Calibri" w:cs="Calibri"/>
          <w:sz w:val="22"/>
          <w:szCs w:val="22"/>
          <w:lang w:val="cs-CZ"/>
        </w:rPr>
        <w:t xml:space="preserve"> je v porovnání s předchozí sezó</w:t>
      </w:r>
      <w:r w:rsidR="00B7734A">
        <w:rPr>
          <w:rFonts w:ascii="Calibri" w:hAnsi="Calibri" w:cs="Calibri"/>
          <w:sz w:val="22"/>
          <w:szCs w:val="22"/>
          <w:lang w:val="cs-CZ"/>
        </w:rPr>
        <w:t>nou (9,3 miliardy eur) o 12 % méně</w:t>
      </w:r>
      <w:r w:rsidR="00B7734A" w:rsidRPr="002564BE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255D5E">
        <w:rPr>
          <w:rFonts w:ascii="Calibri" w:hAnsi="Calibri" w:cs="Calibri"/>
          <w:sz w:val="22"/>
          <w:szCs w:val="22"/>
          <w:lang w:val="cs-CZ"/>
        </w:rPr>
        <w:t>Kluby m</w:t>
      </w:r>
      <w:r w:rsidR="00B7734A">
        <w:rPr>
          <w:rFonts w:ascii="Calibri" w:hAnsi="Calibri" w:cs="Calibri"/>
          <w:sz w:val="22"/>
          <w:szCs w:val="22"/>
          <w:lang w:val="cs-CZ"/>
        </w:rPr>
        <w:t>éně získaly jak za vysílací práva, tak za tržby během hracího dne. N</w:t>
      </w:r>
      <w:r w:rsidR="00B7734A">
        <w:rPr>
          <w:rFonts w:ascii="Calibri" w:hAnsi="Calibri" w:cs="Calibri"/>
          <w:bCs/>
          <w:sz w:val="22"/>
          <w:szCs w:val="22"/>
          <w:lang w:val="cs-CZ"/>
        </w:rPr>
        <w:t xml:space="preserve">a konci právě probíhající sezóny se jejich tržby propadnou dle odhadů </w:t>
      </w:r>
      <w:r w:rsidR="00C85FC4">
        <w:rPr>
          <w:rFonts w:ascii="Calibri" w:hAnsi="Calibri" w:cs="Calibri"/>
          <w:bCs/>
          <w:sz w:val="22"/>
          <w:szCs w:val="22"/>
          <w:lang w:val="cs-CZ"/>
        </w:rPr>
        <w:t xml:space="preserve">celkem </w:t>
      </w:r>
      <w:r w:rsidR="00B7734A">
        <w:rPr>
          <w:rFonts w:ascii="Calibri" w:hAnsi="Calibri" w:cs="Calibri"/>
          <w:bCs/>
          <w:sz w:val="22"/>
          <w:szCs w:val="22"/>
          <w:lang w:val="cs-CZ"/>
        </w:rPr>
        <w:t xml:space="preserve">o dvě miliardy eur. </w:t>
      </w:r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 xml:space="preserve">Deloitte </w:t>
      </w:r>
      <w:r w:rsidR="00B7734A">
        <w:rPr>
          <w:rFonts w:ascii="Calibri" w:hAnsi="Calibri" w:cs="Calibri"/>
          <w:bCs/>
          <w:sz w:val="22"/>
          <w:szCs w:val="22"/>
          <w:lang w:val="cs-CZ"/>
        </w:rPr>
        <w:t>porovnal ve studii</w:t>
      </w:r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proofErr w:type="spellStart"/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>Football</w:t>
      </w:r>
      <w:proofErr w:type="spellEnd"/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 xml:space="preserve"> Money </w:t>
      </w:r>
      <w:proofErr w:type="spellStart"/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>League</w:t>
      </w:r>
      <w:proofErr w:type="spellEnd"/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 xml:space="preserve"> již </w:t>
      </w:r>
      <w:r w:rsidR="00B7734A">
        <w:rPr>
          <w:rFonts w:ascii="Calibri" w:hAnsi="Calibri" w:cs="Calibri"/>
          <w:bCs/>
          <w:sz w:val="22"/>
          <w:szCs w:val="22"/>
          <w:lang w:val="cs-CZ"/>
        </w:rPr>
        <w:t xml:space="preserve">počtyřiadvacáté tržby </w:t>
      </w:r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>fotbalových klubů za sezónu 20</w:t>
      </w:r>
      <w:r w:rsidR="00B7734A">
        <w:rPr>
          <w:rFonts w:ascii="Calibri" w:hAnsi="Calibri" w:cs="Calibri"/>
          <w:bCs/>
          <w:sz w:val="22"/>
          <w:szCs w:val="22"/>
          <w:lang w:val="cs-CZ"/>
        </w:rPr>
        <w:t xml:space="preserve">19/20, tentokrát na pozadí </w:t>
      </w:r>
      <w:proofErr w:type="spellStart"/>
      <w:r w:rsidR="00B7734A">
        <w:rPr>
          <w:rFonts w:ascii="Calibri" w:hAnsi="Calibri" w:cs="Calibri"/>
          <w:bCs/>
          <w:sz w:val="22"/>
          <w:szCs w:val="22"/>
          <w:lang w:val="cs-CZ"/>
        </w:rPr>
        <w:t>koronavirové</w:t>
      </w:r>
      <w:proofErr w:type="spellEnd"/>
      <w:r w:rsidR="00B7734A">
        <w:rPr>
          <w:rFonts w:ascii="Calibri" w:hAnsi="Calibri" w:cs="Calibri"/>
          <w:bCs/>
          <w:sz w:val="22"/>
          <w:szCs w:val="22"/>
          <w:lang w:val="cs-CZ"/>
        </w:rPr>
        <w:t xml:space="preserve"> krize</w:t>
      </w:r>
      <w:r w:rsidR="00B7734A" w:rsidRPr="002564BE">
        <w:rPr>
          <w:rFonts w:ascii="Calibri" w:hAnsi="Calibri" w:cs="Calibri"/>
          <w:bCs/>
          <w:sz w:val="22"/>
          <w:szCs w:val="22"/>
          <w:lang w:val="cs-CZ"/>
        </w:rPr>
        <w:t>.</w:t>
      </w:r>
      <w:r w:rsidR="00B7734A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</w:p>
    <w:p w:rsidR="00B7734A" w:rsidRDefault="00B7734A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</w:p>
    <w:p w:rsidR="00B7734A" w:rsidRDefault="00B7734A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Propad trže</w:t>
      </w:r>
      <w:r w:rsidR="00BB3B47">
        <w:rPr>
          <w:rFonts w:ascii="Calibri" w:hAnsi="Calibri" w:cs="Calibri"/>
          <w:bCs/>
          <w:sz w:val="22"/>
          <w:szCs w:val="22"/>
          <w:lang w:val="cs-CZ"/>
        </w:rPr>
        <w:t>b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 o 1,1 miliardy eur v minulé sezóně </w:t>
      </w:r>
      <w:r w:rsidR="00BB3B47">
        <w:rPr>
          <w:rFonts w:ascii="Calibri" w:hAnsi="Calibri" w:cs="Calibri"/>
          <w:bCs/>
          <w:sz w:val="22"/>
          <w:szCs w:val="22"/>
          <w:lang w:val="cs-CZ"/>
        </w:rPr>
        <w:t>má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 na svědomí </w:t>
      </w:r>
      <w:r w:rsidR="00BB3B47">
        <w:rPr>
          <w:rFonts w:ascii="Calibri" w:hAnsi="Calibri" w:cs="Calibri"/>
          <w:bCs/>
          <w:sz w:val="22"/>
          <w:szCs w:val="22"/>
          <w:lang w:val="cs-CZ"/>
        </w:rPr>
        <w:t xml:space="preserve">hlavně </w:t>
      </w:r>
      <w:r>
        <w:rPr>
          <w:rFonts w:ascii="Calibri" w:hAnsi="Calibri" w:cs="Calibri"/>
          <w:bCs/>
          <w:sz w:val="22"/>
          <w:szCs w:val="22"/>
          <w:lang w:val="cs-CZ"/>
        </w:rPr>
        <w:t>pokles příjmu z vysílacích práv (</w:t>
      </w:r>
      <w:r w:rsidR="00BB3B47">
        <w:rPr>
          <w:rFonts w:ascii="Calibri" w:hAnsi="Calibri" w:cs="Calibri"/>
          <w:bCs/>
          <w:sz w:val="22"/>
          <w:szCs w:val="22"/>
          <w:lang w:val="cs-CZ"/>
        </w:rPr>
        <w:t>o 23 %, tedy o 937 milionů eur), zejména kvůli odložení příjmů a slevám pro vysílatele, a také pokles z tržeb během hracího dne (o 17 %, tedy o 257 milionů eur). Mírný tříprocentní nárůst kluby zaznamenaly z</w:t>
      </w:r>
      <w:r w:rsidR="00CB4E61">
        <w:rPr>
          <w:rFonts w:ascii="Calibri" w:hAnsi="Calibri" w:cs="Calibri"/>
          <w:bCs/>
          <w:sz w:val="22"/>
          <w:szCs w:val="22"/>
          <w:lang w:val="cs-CZ"/>
        </w:rPr>
        <w:t xml:space="preserve"> komerčních aktivit </w:t>
      </w:r>
      <w:r w:rsidR="00BB3B47">
        <w:rPr>
          <w:rFonts w:ascii="Calibri" w:hAnsi="Calibri" w:cs="Calibri"/>
          <w:bCs/>
          <w:sz w:val="22"/>
          <w:szCs w:val="22"/>
          <w:lang w:val="cs-CZ"/>
        </w:rPr>
        <w:t>(o 105 milionů eur).</w:t>
      </w:r>
    </w:p>
    <w:p w:rsidR="00BB3B47" w:rsidRDefault="00BB3B47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</w:p>
    <w:p w:rsidR="00BB3B47" w:rsidRDefault="00BB3B47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Průměrný příjem klubu v</w:t>
      </w:r>
      <w:r w:rsidR="00C85FC4">
        <w:rPr>
          <w:rFonts w:ascii="Calibri" w:hAnsi="Calibri" w:cs="Calibri"/>
          <w:bCs/>
          <w:sz w:val="22"/>
          <w:szCs w:val="22"/>
          <w:lang w:val="cs-CZ"/>
        </w:rPr>
        <w:t xml:space="preserve"> top dvacítce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žebříčku Money </w:t>
      </w:r>
      <w:proofErr w:type="spellStart"/>
      <w:r>
        <w:rPr>
          <w:rFonts w:ascii="Calibri" w:hAnsi="Calibri" w:cs="Calibri"/>
          <w:bCs/>
          <w:sz w:val="22"/>
          <w:szCs w:val="22"/>
          <w:lang w:val="cs-CZ"/>
        </w:rPr>
        <w:t>League</w:t>
      </w:r>
      <w:proofErr w:type="spellEnd"/>
      <w:r>
        <w:rPr>
          <w:rFonts w:ascii="Calibri" w:hAnsi="Calibri" w:cs="Calibri"/>
          <w:bCs/>
          <w:sz w:val="22"/>
          <w:szCs w:val="22"/>
          <w:lang w:val="cs-CZ"/>
        </w:rPr>
        <w:t xml:space="preserve"> byl 409 milionů eur, o 55 milionů méně než v sezóně 2018/19, což odpovídá úrovni sezóny 2017/2018. </w:t>
      </w:r>
    </w:p>
    <w:p w:rsidR="00BB3B47" w:rsidRDefault="00BB3B47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</w:p>
    <w:p w:rsidR="00BB3B47" w:rsidRPr="00C85FC4" w:rsidRDefault="00BB3B47" w:rsidP="002564BE">
      <w:pPr>
        <w:pStyle w:val="Documentsubtitle"/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BB3B47">
        <w:rPr>
          <w:rFonts w:ascii="Calibri" w:hAnsi="Calibri" w:cs="Calibri"/>
          <w:b/>
          <w:bCs/>
          <w:sz w:val="22"/>
          <w:szCs w:val="22"/>
          <w:lang w:val="cs-CZ"/>
        </w:rPr>
        <w:t xml:space="preserve">Tržby rozprostřeny do dvou finančních </w:t>
      </w:r>
      <w:r w:rsidR="003F14A6">
        <w:rPr>
          <w:rFonts w:ascii="Calibri" w:hAnsi="Calibri" w:cs="Calibri"/>
          <w:b/>
          <w:bCs/>
          <w:sz w:val="22"/>
          <w:szCs w:val="22"/>
          <w:lang w:val="cs-CZ"/>
        </w:rPr>
        <w:t>let</w:t>
      </w:r>
    </w:p>
    <w:p w:rsidR="00BB3B47" w:rsidRPr="00B7734A" w:rsidRDefault="00BB3B47" w:rsidP="002564BE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Za normálních okolností </w:t>
      </w:r>
      <w:r w:rsidR="003F14A6">
        <w:rPr>
          <w:rFonts w:ascii="Calibri" w:hAnsi="Calibri" w:cs="Calibri"/>
          <w:bCs/>
          <w:sz w:val="22"/>
          <w:szCs w:val="22"/>
          <w:lang w:val="cs-CZ"/>
        </w:rPr>
        <w:t xml:space="preserve">u většiny klubů </w:t>
      </w:r>
      <w:r>
        <w:rPr>
          <w:rFonts w:ascii="Calibri" w:hAnsi="Calibri" w:cs="Calibri"/>
          <w:bCs/>
          <w:sz w:val="22"/>
          <w:szCs w:val="22"/>
          <w:lang w:val="cs-CZ"/>
        </w:rPr>
        <w:t>odpovídá konec finančního roku konci sezóny, nicméně kvůli rozdílnému přístupu různých lig během narušené sezóny se příjmy klubů rozprostřely do dvou finančních let končících v roce 2020 a 2021. Analýza Deloitte se leto</w:t>
      </w:r>
      <w:r w:rsidR="00A62940">
        <w:rPr>
          <w:rFonts w:ascii="Calibri" w:hAnsi="Calibri" w:cs="Calibri"/>
          <w:bCs/>
          <w:sz w:val="22"/>
          <w:szCs w:val="22"/>
          <w:lang w:val="cs-CZ"/>
        </w:rPr>
        <w:t>s soustředí v drtivé většině na </w:t>
      </w:r>
      <w:r>
        <w:rPr>
          <w:rFonts w:ascii="Calibri" w:hAnsi="Calibri" w:cs="Calibri"/>
          <w:bCs/>
          <w:sz w:val="22"/>
          <w:szCs w:val="22"/>
          <w:lang w:val="cs-CZ"/>
        </w:rPr>
        <w:t>finanční rok končící v roce 2020.</w:t>
      </w:r>
    </w:p>
    <w:p w:rsidR="00824FEC" w:rsidRDefault="00824FEC" w:rsidP="00824FEC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BB3B47" w:rsidRDefault="00255D5E" w:rsidP="00BB3B47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Výsledky reflektují jak</w:t>
      </w:r>
      <w:r w:rsidR="00CB4E61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odložení příjmů</w:t>
      </w: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,</w:t>
      </w:r>
      <w:r w:rsidR="00CB4E61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</w:t>
      </w: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tak i ztrátu</w:t>
      </w:r>
      <w:r w:rsidR="00CB4E61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příjmů (hlavně z hracího dne, ale také kvůli slevám pro vysílatele). Co se týká odložených příjmů, zhruba čtvrtina tržeb roku 2020 byla odložena na rok 2021.</w:t>
      </w:r>
    </w:p>
    <w:p w:rsidR="00CB4E61" w:rsidRDefault="00CB4E61" w:rsidP="00BB3B47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BB3B47" w:rsidRPr="002564BE" w:rsidRDefault="00CB4E61" w:rsidP="00BB3B47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 w:rsidRPr="00CB4E61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„Ligy na celém světě zaujaly v reakci na pandemii rozdílné přístupy, od posunutí</w:t>
      </w:r>
      <w:r w:rsidR="00255D5E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 sezóny</w:t>
      </w:r>
      <w:r w:rsidRPr="00CB4E61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 k</w:t>
      </w:r>
      <w:r w:rsidR="00255D5E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 jejímu</w:t>
      </w:r>
      <w:r w:rsidRPr="00CB4E61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 úplnému zrušení. Finální výsledky se tak určovaly dle různých metod a u některých byly z</w:t>
      </w:r>
      <w:r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c</w:t>
      </w:r>
      <w:r w:rsidRPr="00CB4E61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ela anulovány,“ </w:t>
      </w:r>
      <w:r w:rsidRPr="002564BE">
        <w:rPr>
          <w:rFonts w:ascii="Calibri" w:hAnsi="Calibri" w:cs="Calibri"/>
          <w:bCs/>
          <w:sz w:val="22"/>
          <w:szCs w:val="22"/>
          <w:lang w:val="cs-CZ"/>
        </w:rPr>
        <w:t xml:space="preserve">říká </w:t>
      </w:r>
      <w:r w:rsidRPr="002564BE">
        <w:rPr>
          <w:rFonts w:ascii="Calibri" w:hAnsi="Calibri" w:cs="Calibri"/>
          <w:sz w:val="22"/>
          <w:szCs w:val="22"/>
          <w:lang w:val="cs-CZ"/>
        </w:rPr>
        <w:t>Dan Jones, partner v oddělení Sport Business Group Deloitte.</w:t>
      </w:r>
    </w:p>
    <w:p w:rsidR="00824FEC" w:rsidRPr="00CB4E61" w:rsidRDefault="00CB4E61" w:rsidP="00824FEC">
      <w:pPr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„</w:t>
      </w:r>
      <w:r w:rsidR="001B684B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Bezpečný návrat fanoušků na stadiony ve velkých počtech je jednou z nejvyšších priorit</w:t>
      </w:r>
      <w:r w:rsidR="00C85FC4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 </w:t>
      </w:r>
      <w:r w:rsidR="001B684B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fotbalu</w:t>
      </w:r>
      <w:r w:rsidR="00A62940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 na </w:t>
      </w:r>
      <w:r w:rsidR="003F14A6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celém světě</w:t>
      </w:r>
      <w:r w:rsidR="001B684B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. Zápasové dny jsou základním kamenem obchodního modelu klubů a pomáhají jim v dalších </w:t>
      </w:r>
      <w:r w:rsidR="009423C5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výdělečných</w:t>
      </w:r>
      <w:r w:rsidR="001B684B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 aktivitách. Konečná bilance finančního dopadu pandemie na fotbal bude záviset v nemalé míře na načasování a škále návratu fanoušků.“</w:t>
      </w:r>
    </w:p>
    <w:p w:rsidR="00CB4E61" w:rsidRDefault="00CB4E61" w:rsidP="00824FEC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1B684B" w:rsidRPr="001B684B" w:rsidRDefault="001B684B" w:rsidP="001B684B">
      <w:pPr>
        <w:rPr>
          <w:rFonts w:ascii="Calibri" w:eastAsiaTheme="minorHAnsi" w:hAnsi="Calibri" w:cs="Calibri"/>
          <w:b/>
          <w:bCs/>
          <w:sz w:val="22"/>
          <w:szCs w:val="22"/>
          <w:bdr w:val="none" w:sz="0" w:space="0" w:color="auto"/>
          <w:lang w:val="cs-CZ"/>
        </w:rPr>
      </w:pPr>
      <w:r w:rsidRPr="001B684B">
        <w:rPr>
          <w:rFonts w:ascii="Calibri" w:eastAsiaTheme="minorHAnsi" w:hAnsi="Calibri" w:cs="Calibri"/>
          <w:b/>
          <w:bCs/>
          <w:sz w:val="22"/>
          <w:szCs w:val="22"/>
          <w:bdr w:val="none" w:sz="0" w:space="0" w:color="auto"/>
          <w:lang w:val="cs-CZ"/>
        </w:rPr>
        <w:t>Situace v jednotlivých klubech</w:t>
      </w:r>
    </w:p>
    <w:p w:rsidR="001B684B" w:rsidRDefault="001B684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Složení dvacítky největších fotbalových klubů zůstává i přes pandemickou krizi stabilní. Kluby v první desítce žebříčku se nezměnily a ve dvacítce je celkem osmnáct klubů z loňského roku. Na špici tržeb je stále FC Barcelona (715,1 milionů eur) a Real Madrid (714,9 milionu eur). Jde o nejmenší rozdíl (0,2 milionu eur) v historii Money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League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. </w:t>
      </w:r>
    </w:p>
    <w:p w:rsidR="001B684B" w:rsidRPr="002564BE" w:rsidRDefault="001B684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1B684B" w:rsidRPr="002564BE" w:rsidRDefault="001B684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Na třetí místo se probojoval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Bayern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Mnichov (634,1 </w:t>
      </w:r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m</w:t>
      </w: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ilionu eur)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. V první </w:t>
      </w:r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trojce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je poprvé od sezóny 2013/14. </w:t>
      </w:r>
      <w:proofErr w:type="spellStart"/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Bayern</w:t>
      </w:r>
      <w:proofErr w:type="spellEnd"/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měl nejmenší propad tržeb z první desítky</w:t>
      </w:r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klubů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(4 %), zejména díky domácím vysílacím právům spadajícím do finančního roku 2020, protože </w:t>
      </w:r>
      <w:proofErr w:type="spellStart"/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Bundesliga</w:t>
      </w:r>
      <w:proofErr w:type="spellEnd"/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se dohrála včas. </w:t>
      </w:r>
    </w:p>
    <w:p w:rsidR="001B684B" w:rsidRPr="002564BE" w:rsidRDefault="001B684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EA267B" w:rsidRDefault="001B684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 w:rsidRPr="002564BE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Manchester United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přišel na t</w:t>
      </w:r>
      <w:r w:rsidR="00C85FC4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ržbách nejvíce ze všech, o 131,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1 milionu </w:t>
      </w:r>
      <w:r w:rsidR="00A62940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eur (19 %), a propadl se tak na 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čtvrté místo. Stalo se tak hlavně kvůli tomu, že </w:t>
      </w:r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nehrál</w:t>
      </w:r>
      <w:r w:rsidR="00C85FC4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v UEFA </w:t>
      </w:r>
      <w:proofErr w:type="spellStart"/>
      <w:r w:rsidR="00C85FC4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Cham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pions</w:t>
      </w:r>
      <w:proofErr w:type="spellEnd"/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</w:t>
      </w:r>
      <w:proofErr w:type="spellStart"/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League</w:t>
      </w:r>
      <w:proofErr w:type="spellEnd"/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a zasáhla </w:t>
      </w:r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jej</w:t>
      </w:r>
      <w:r w:rsidR="00EA267B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absence zisků ze zápasového dne, odložení příjmů a slevy pro vysílatele.</w:t>
      </w:r>
    </w:p>
    <w:p w:rsidR="00EA267B" w:rsidRDefault="00EA267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1B684B" w:rsidRDefault="00EA267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Na druhou stranu Liverpool se dostal </w:t>
      </w:r>
      <w:r w:rsidR="009423C5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poprvé</w:t>
      </w: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od roku 2001/02 do první pětky. Úspěchy na hřišti mu pomáhají i ve financích.</w:t>
      </w:r>
    </w:p>
    <w:p w:rsidR="00EA267B" w:rsidRDefault="00EA267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EA267B" w:rsidRDefault="00EA267B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Ve dvacítce klubů s nejvyšší tržbami nahradily AS </w:t>
      </w:r>
      <w:r w:rsidR="00C85FC4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Řím</w:t>
      </w: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a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West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Ham United kluby FC Zenit (15. místo, 236,5 milionů eur) a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Eintracht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Frankfurt (20. místo, 174 milionu eur). Zenitu pomohla účast v 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Champions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League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a také konec finančního roku 31. prosince 2019. Jeho tržby v sezóně tak pandemie nezasáhla, podobně jako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Eintracht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Frankfurt.</w:t>
      </w:r>
    </w:p>
    <w:p w:rsidR="00D116E0" w:rsidRPr="00A62940" w:rsidRDefault="00D116E0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</w:rPr>
      </w:pPr>
    </w:p>
    <w:p w:rsidR="00D116E0" w:rsidRPr="00D116E0" w:rsidRDefault="00D116E0" w:rsidP="001B684B">
      <w:pPr>
        <w:rPr>
          <w:rFonts w:ascii="Calibri" w:eastAsiaTheme="minorHAnsi" w:hAnsi="Calibri" w:cs="Calibri"/>
          <w:b/>
          <w:bCs/>
          <w:sz w:val="22"/>
          <w:szCs w:val="22"/>
          <w:bdr w:val="none" w:sz="0" w:space="0" w:color="auto"/>
          <w:lang w:val="cs-CZ"/>
        </w:rPr>
      </w:pPr>
      <w:r w:rsidRPr="00D116E0">
        <w:rPr>
          <w:rFonts w:ascii="Calibri" w:eastAsiaTheme="minorHAnsi" w:hAnsi="Calibri" w:cs="Calibri"/>
          <w:b/>
          <w:bCs/>
          <w:sz w:val="22"/>
          <w:szCs w:val="22"/>
          <w:bdr w:val="none" w:sz="0" w:space="0" w:color="auto"/>
          <w:lang w:val="cs-CZ"/>
        </w:rPr>
        <w:t>Pohled do blízké budoucnosti</w:t>
      </w:r>
    </w:p>
    <w:p w:rsidR="001B684B" w:rsidRDefault="00D116E0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Analytici Deloitte odhadují, že kluby z letošní Money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League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přijdou na tržbách na konci sezóny 2020/21 o celkem dvě miliardy eur. Příjmy ze zápasových dnů jsou totiž od března 2020 prakticky nulové a v současné sezóně se neočekává, že by se fanoušci na stadiony měli nějak houfně vracet. Odhaduje se také, že slevy pro vysílatele „velké pětky“ evropských lig a UEFA dosáhnou 1,2 miliardy eur, z čehož velká část připadá právě na kluby v top dvacítce Money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League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.</w:t>
      </w:r>
    </w:p>
    <w:p w:rsidR="00D116E0" w:rsidRPr="002564BE" w:rsidRDefault="00D116E0" w:rsidP="001B684B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6616DC" w:rsidRDefault="002564BE" w:rsidP="002564BE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  <w:r w:rsidRPr="002564BE">
        <w:rPr>
          <w:rFonts w:ascii="Calibri" w:hAnsi="Calibri" w:cs="Calibri"/>
          <w:bCs/>
          <w:sz w:val="22"/>
          <w:szCs w:val="22"/>
          <w:lang w:val="cs-CZ"/>
        </w:rPr>
        <w:t xml:space="preserve">Studii </w:t>
      </w:r>
      <w:r w:rsidRPr="002564BE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Deloitte </w:t>
      </w:r>
      <w:proofErr w:type="spellStart"/>
      <w:r w:rsidRPr="002564BE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Football</w:t>
      </w:r>
      <w:proofErr w:type="spellEnd"/>
      <w:r w:rsidRPr="002564BE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 xml:space="preserve"> Money </w:t>
      </w:r>
      <w:proofErr w:type="spellStart"/>
      <w:r w:rsidRPr="002564BE">
        <w:rPr>
          <w:rFonts w:ascii="Calibri" w:eastAsiaTheme="minorHAnsi" w:hAnsi="Calibri" w:cs="Calibri"/>
          <w:bCs/>
          <w:i/>
          <w:sz w:val="22"/>
          <w:szCs w:val="22"/>
          <w:bdr w:val="none" w:sz="0" w:space="0" w:color="auto"/>
          <w:lang w:val="cs-CZ"/>
        </w:rPr>
        <w:t>League</w:t>
      </w:r>
      <w:proofErr w:type="spellEnd"/>
      <w:r w:rsidRPr="002564BE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 xml:space="preserve"> v angličtině si můžete stáhnout </w:t>
      </w:r>
      <w:hyperlink r:id="rId11" w:history="1">
        <w:r w:rsidRPr="00C85FC4">
          <w:rPr>
            <w:rStyle w:val="Hyperlink"/>
            <w:rFonts w:ascii="Calibri" w:eastAsiaTheme="minorHAnsi" w:hAnsi="Calibri" w:cs="Calibri"/>
            <w:bCs/>
            <w:sz w:val="22"/>
            <w:szCs w:val="22"/>
            <w:bdr w:val="none" w:sz="0" w:space="0" w:color="auto"/>
            <w:lang w:val="cs-CZ"/>
          </w:rPr>
          <w:t>zde</w:t>
        </w:r>
      </w:hyperlink>
      <w:r w:rsidRPr="002564BE"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  <w:t>.</w:t>
      </w:r>
    </w:p>
    <w:p w:rsidR="002564BE" w:rsidRPr="002564BE" w:rsidRDefault="002564BE" w:rsidP="002564BE">
      <w:pPr>
        <w:rPr>
          <w:rFonts w:ascii="Calibri" w:eastAsiaTheme="minorHAnsi" w:hAnsi="Calibri" w:cs="Calibri"/>
          <w:bCs/>
          <w:sz w:val="22"/>
          <w:szCs w:val="22"/>
          <w:bdr w:val="none" w:sz="0" w:space="0" w:color="auto"/>
          <w:lang w:val="cs-CZ"/>
        </w:rPr>
      </w:pPr>
    </w:p>
    <w:p w:rsidR="00C648C7" w:rsidRPr="002564BE" w:rsidRDefault="00C648C7" w:rsidP="00C648C7">
      <w:pPr>
        <w:rPr>
          <w:rFonts w:ascii="Calibri" w:hAnsi="Calibri" w:cs="Calibri"/>
          <w:b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/>
          <w:bCs/>
          <w:sz w:val="20"/>
          <w:szCs w:val="20"/>
          <w:lang w:val="cs-CZ" w:eastAsia="en-GB"/>
        </w:rPr>
        <w:t>Poznámka</w:t>
      </w:r>
    </w:p>
    <w:p w:rsidR="00C648C7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Tato tisková zpráva je založena na studii společnosti Deloitte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Football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 xml:space="preserve">Money </w:t>
      </w:r>
      <w:proofErr w:type="spellStart"/>
      <w:r>
        <w:rPr>
          <w:rFonts w:ascii="Calibri" w:hAnsi="Calibri" w:cs="Calibri"/>
          <w:bCs/>
          <w:sz w:val="20"/>
          <w:szCs w:val="20"/>
          <w:lang w:val="cs-CZ" w:eastAsia="en-GB"/>
        </w:rPr>
        <w:t>League</w:t>
      </w:r>
      <w:proofErr w:type="spellEnd"/>
      <w:r>
        <w:rPr>
          <w:rFonts w:ascii="Calibri" w:hAnsi="Calibri" w:cs="Calibri"/>
          <w:bCs/>
          <w:sz w:val="20"/>
          <w:szCs w:val="20"/>
          <w:lang w:val="cs-CZ" w:eastAsia="en-GB"/>
        </w:rPr>
        <w:t xml:space="preserve"> vydané v lednu 2021</w:t>
      </w: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. Jak je blíže vysvětleno v publikaci, výše příjmů jsou získávány z roční účetní závěrky společnosti či skupiny daného klubu či z jiných přímých zdrojů 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za finanční rok končící v roce 2020, což většinou odpovídá i sezóně 2019/20</w:t>
      </w: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.</w:t>
      </w:r>
      <w:r w:rsidR="00A62940">
        <w:rPr>
          <w:rFonts w:ascii="Calibri" w:hAnsi="Calibri" w:cs="Calibri"/>
          <w:bCs/>
          <w:sz w:val="20"/>
          <w:szCs w:val="20"/>
          <w:lang w:val="cs-CZ" w:eastAsia="en-GB"/>
        </w:rPr>
        <w:t xml:space="preserve"> U 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některých klubů bude mít prodloužení sezóny 2019/20 za následek, že část tržeb z této sezóny bude započtena až do finančního roku končícího v roce 2021. Abychom předešli pochybnostem, finanční výsledky vztahující se k sezóně 2019/20 ve finančním roce končícím v roce 2020 jsme jakkoli neupravovali.</w:t>
      </w:r>
    </w:p>
    <w:p w:rsidR="00C648C7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Relativní majetek a hodnotu fotbalových klubů lze zkoumat mnoha způsoby. V rámci analýzy Deloitte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Football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Money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League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byly použity příjmy jakožto nejdostupnější a nejsnadněji srovnatelné měřítko finančních výsledků.</w:t>
      </w: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Příjmy nezahrnují poplatky za přestupy hráčů, DPH a jiné daně související s prodejem. V několika případech jsme výši celkových příjmů upravili, abychom umožnili dle našeho názoru smysluplnější srovnání podnikání v odvětví fotbalu dle jednotlivých týmů.</w:t>
      </w: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Údaje obsažené v účetních závěrkách či jiných zdrojích o jednotlivých klubech jsme pro účely této publikace neověřovali ani neauditovali. </w:t>
      </w: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Pokud není stanoveno jinak, všechny částky za sezónu 20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19/20</w:t>
      </w: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byly převedeny pro účely mezinárodního srovnání pomocí průměrného směnného kurz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u za rok končící 30. června 2020</w:t>
      </w: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 (1 GBP = 1,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14</w:t>
      </w: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EUR). Srovnávací částky byly získány z předchozích ročníků Deloitte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Football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Money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League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, z relevantních ročních účetních závěrek či jiných přímých zdrojů.</w:t>
      </w: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V průběhu roku bude rovněž vydána každoroční studie společnosti Deloitte o financích ve fotbale (Deloitte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Annual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Review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of </w:t>
      </w:r>
      <w:proofErr w:type="spellStart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Football</w:t>
      </w:r>
      <w:proofErr w:type="spellEnd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Finance), která bude obsahovat detailnější analýz</w:t>
      </w:r>
      <w:r w:rsidR="00A62940">
        <w:rPr>
          <w:rFonts w:ascii="Calibri" w:hAnsi="Calibri" w:cs="Calibri"/>
          <w:bCs/>
          <w:sz w:val="20"/>
          <w:szCs w:val="20"/>
          <w:lang w:val="cs-CZ" w:eastAsia="en-GB"/>
        </w:rPr>
        <w:t>u finanční stránky anglického a </w:t>
      </w:r>
      <w:bookmarkStart w:id="0" w:name="_GoBack"/>
      <w:bookmarkEnd w:id="0"/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evropského fotbalu.</w:t>
      </w: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</w:p>
    <w:p w:rsidR="00C648C7" w:rsidRPr="002564BE" w:rsidRDefault="00C648C7" w:rsidP="00C648C7">
      <w:pPr>
        <w:rPr>
          <w:rFonts w:ascii="Calibri" w:hAnsi="Calibri" w:cs="Calibri"/>
          <w:bCs/>
          <w:sz w:val="20"/>
          <w:szCs w:val="20"/>
          <w:lang w:val="cs-CZ" w:eastAsia="en-GB"/>
        </w:rPr>
      </w:pP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>Pro účely zprávy v češtině jsme využili průměrný směnný kurz ČNB z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a období od 1. července 2019 do 30. června 2020</w:t>
      </w:r>
      <w:r w:rsidRPr="002564BE">
        <w:rPr>
          <w:rFonts w:ascii="Calibri" w:hAnsi="Calibri" w:cs="Calibri"/>
          <w:bCs/>
          <w:sz w:val="20"/>
          <w:szCs w:val="20"/>
          <w:lang w:val="cs-CZ" w:eastAsia="en-GB"/>
        </w:rPr>
        <w:t xml:space="preserve"> (1 EUR = 25,</w:t>
      </w:r>
      <w:r>
        <w:rPr>
          <w:rFonts w:ascii="Calibri" w:hAnsi="Calibri" w:cs="Calibri"/>
          <w:bCs/>
          <w:sz w:val="20"/>
          <w:szCs w:val="20"/>
          <w:lang w:val="cs-CZ" w:eastAsia="en-GB"/>
        </w:rPr>
        <w:t>99</w:t>
      </w:r>
      <w:r w:rsidR="00F05C7B">
        <w:rPr>
          <w:rFonts w:ascii="Calibri" w:hAnsi="Calibri" w:cs="Calibri"/>
          <w:bCs/>
          <w:sz w:val="20"/>
          <w:szCs w:val="20"/>
          <w:lang w:val="cs-CZ" w:eastAsia="en-GB"/>
        </w:rPr>
        <w:t xml:space="preserve"> CZK) a </w:t>
      </w:r>
      <w:r w:rsidR="00F05C7B" w:rsidRPr="00F05C7B">
        <w:rPr>
          <w:rFonts w:ascii="Calibri" w:hAnsi="Calibri" w:cs="Calibri"/>
          <w:bCs/>
          <w:sz w:val="20"/>
          <w:szCs w:val="20"/>
          <w:lang w:val="cs-CZ" w:eastAsia="en-GB"/>
        </w:rPr>
        <w:t>za období od 1. července 2018 do 30. června 2019 (1 EUR = 25,735 CZK).</w:t>
      </w:r>
    </w:p>
    <w:p w:rsidR="00C648C7" w:rsidRDefault="00C64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b/>
          <w:bCs/>
          <w:szCs w:val="22"/>
          <w:bdr w:val="none" w:sz="0" w:space="0" w:color="auto"/>
          <w:lang w:val="cs-CZ"/>
        </w:rPr>
      </w:pPr>
    </w:p>
    <w:p w:rsidR="00C648C7" w:rsidRDefault="00C64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b/>
          <w:bCs/>
          <w:szCs w:val="22"/>
          <w:bdr w:val="none" w:sz="0" w:space="0" w:color="auto"/>
          <w:lang w:val="cs-CZ"/>
        </w:rPr>
      </w:pPr>
      <w:r>
        <w:rPr>
          <w:rFonts w:ascii="Calibri" w:hAnsi="Calibri" w:cs="Calibri"/>
          <w:b/>
          <w:bCs/>
          <w:lang w:val="cs-CZ"/>
        </w:rPr>
        <w:br w:type="page"/>
      </w:r>
    </w:p>
    <w:p w:rsidR="002564BE" w:rsidRDefault="002564BE" w:rsidP="002564BE">
      <w:pPr>
        <w:pStyle w:val="NoSpacing"/>
        <w:rPr>
          <w:rFonts w:ascii="Calibri" w:hAnsi="Calibri" w:cs="Calibri"/>
          <w:b/>
          <w:bCs/>
          <w:sz w:val="24"/>
          <w:lang w:val="cs-CZ"/>
        </w:rPr>
      </w:pPr>
      <w:r w:rsidRPr="002564BE">
        <w:rPr>
          <w:rFonts w:ascii="Calibri" w:hAnsi="Calibri" w:cs="Calibri"/>
          <w:b/>
          <w:bCs/>
          <w:sz w:val="24"/>
          <w:lang w:val="cs-CZ"/>
        </w:rPr>
        <w:lastRenderedPageBreak/>
        <w:t xml:space="preserve">Prvních 20 klubů v žebříčku Deloitte </w:t>
      </w:r>
      <w:proofErr w:type="spellStart"/>
      <w:r w:rsidRPr="002564BE">
        <w:rPr>
          <w:rFonts w:ascii="Calibri" w:hAnsi="Calibri" w:cs="Calibri"/>
          <w:b/>
          <w:bCs/>
          <w:sz w:val="24"/>
          <w:lang w:val="cs-CZ"/>
        </w:rPr>
        <w:t>Football</w:t>
      </w:r>
      <w:proofErr w:type="spellEnd"/>
      <w:r w:rsidRPr="002564BE">
        <w:rPr>
          <w:rFonts w:ascii="Calibri" w:hAnsi="Calibri" w:cs="Calibri"/>
          <w:b/>
          <w:bCs/>
          <w:sz w:val="24"/>
          <w:lang w:val="cs-CZ"/>
        </w:rPr>
        <w:t xml:space="preserve"> Money </w:t>
      </w:r>
      <w:proofErr w:type="spellStart"/>
      <w:r w:rsidRPr="002564BE">
        <w:rPr>
          <w:rFonts w:ascii="Calibri" w:hAnsi="Calibri" w:cs="Calibri"/>
          <w:b/>
          <w:bCs/>
          <w:sz w:val="24"/>
          <w:lang w:val="cs-CZ"/>
        </w:rPr>
        <w:t>League</w:t>
      </w:r>
      <w:proofErr w:type="spellEnd"/>
      <w:r w:rsidRPr="002564BE">
        <w:rPr>
          <w:rFonts w:ascii="Calibri" w:hAnsi="Calibri" w:cs="Calibri"/>
          <w:b/>
          <w:bCs/>
          <w:sz w:val="24"/>
          <w:lang w:val="cs-CZ"/>
        </w:rPr>
        <w:t>:</w:t>
      </w:r>
    </w:p>
    <w:p w:rsidR="002564BE" w:rsidRPr="002564BE" w:rsidRDefault="002564BE" w:rsidP="002564BE">
      <w:pPr>
        <w:pStyle w:val="NoSpacing"/>
        <w:rPr>
          <w:rFonts w:ascii="Calibri" w:hAnsi="Calibri" w:cs="Calibri"/>
          <w:b/>
          <w:bCs/>
          <w:sz w:val="24"/>
          <w:lang w:val="cs-CZ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2693"/>
        <w:gridCol w:w="2552"/>
      </w:tblGrid>
      <w:tr w:rsidR="002564BE" w:rsidRPr="002C11C7" w:rsidTr="00DC320E">
        <w:trPr>
          <w:trHeight w:val="48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4BE" w:rsidRPr="002C11C7" w:rsidRDefault="002564BE" w:rsidP="00DC32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Pořadí (loni)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4BE" w:rsidRPr="002C11C7" w:rsidRDefault="002564BE" w:rsidP="00DC32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Klub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4BE" w:rsidRPr="002C11C7" w:rsidRDefault="002564BE" w:rsidP="00DC32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Příjmy v sezóně 2019/20 (miliony eur) (2018/19)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4BE" w:rsidRPr="002C11C7" w:rsidRDefault="002564BE" w:rsidP="00BB3B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Příjmy v sezóně 2019/20 (</w:t>
            </w:r>
            <w:r w:rsidR="00BB3B4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miliardy</w:t>
            </w:r>
            <w:r w:rsidRPr="002C11C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BB3B4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korun</w:t>
            </w:r>
            <w:r w:rsidRPr="002C11C7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) (2018/19)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FC Barcelona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715,1 (840,8)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18,585 (21,6)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Real Madrid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714,9 (757,3)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18,580 (19,5)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3 (4)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9423C5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Bayern </w:t>
            </w:r>
            <w:proofErr w:type="spellStart"/>
            <w:r w:rsidR="009423C5">
              <w:rPr>
                <w:rFonts w:ascii="Calibri" w:hAnsi="Calibri" w:cs="Calibri"/>
                <w:color w:val="000000"/>
                <w:sz w:val="20"/>
                <w:szCs w:val="20"/>
              </w:rPr>
              <w:t>Mnichov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634,1 (660,1)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16,5 (17)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Manchester United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580,4 (711,5)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15,1 (18,3)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5 (7)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558,6 (604,7)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14,5 (15,6)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6 (6)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Manchester City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549,2 (610,6)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14,3 (15,7)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7 (5)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Paris Saint-Germain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540,6 (635,9)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14,1 (16,4)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469,7 (513,1)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12,2 (13,2)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9 (8)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proofErr w:type="spellStart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Tottenham</w:t>
            </w:r>
            <w:proofErr w:type="spellEnd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Hotspur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445,7 (521,1)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11,6 (13,4)</w:t>
            </w:r>
          </w:p>
        </w:tc>
      </w:tr>
      <w:tr w:rsidR="008D610F" w:rsidRPr="002C11C7" w:rsidTr="00E444A9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10 (10)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Juventus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0F" w:rsidRPr="002C11C7" w:rsidRDefault="008D610F" w:rsidP="008D6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397,9 (459,7)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0F" w:rsidRPr="00F05C7B" w:rsidRDefault="008D610F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10,3 (11,8)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11 (11)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Arsenal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388 (445,2)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10 (11,5)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12 (12)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Borussia Dortmund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365,7 (371,7)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9,5 (9,7)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13 (13)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proofErr w:type="spellStart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Atlético</w:t>
            </w:r>
            <w:proofErr w:type="spellEnd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Madrid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331,8 (367,6)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8,6 (9,5)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14 (14)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9423C5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Milán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291,5 (364,6)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7,6 (9,4)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15 (28)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FC </w:t>
            </w:r>
            <w:proofErr w:type="spellStart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Zenit</w:t>
            </w:r>
            <w:proofErr w:type="spellEnd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236,5 (180,4)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6,1 (4,6)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16 (15)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proofErr w:type="spellStart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Schalke</w:t>
            </w:r>
            <w:proofErr w:type="spellEnd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222,8 (324,8)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5,8 (8,4)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17 (19)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Everton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212 (210,5)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5,5 (5,6)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18 (17)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9423C5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proofErr w:type="spellStart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Olympique</w:t>
            </w:r>
            <w:proofErr w:type="spellEnd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423C5">
              <w:rPr>
                <w:rFonts w:ascii="Calibri" w:hAnsi="Calibri" w:cs="Calibri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180,7 (220,9)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4,7 (5,9)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19 (20)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9423C5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Neapol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176,3 (207,4)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4,6 (5,4)</w:t>
            </w:r>
          </w:p>
        </w:tc>
      </w:tr>
      <w:tr w:rsidR="00F05C7B" w:rsidRPr="002C11C7" w:rsidTr="00371951">
        <w:trPr>
          <w:trHeight w:val="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20 (27)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proofErr w:type="spellStart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Eintracht</w:t>
            </w:r>
            <w:proofErr w:type="spellEnd"/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Frankfurt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C7B" w:rsidRPr="002C11C7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C11C7">
              <w:rPr>
                <w:rFonts w:ascii="Calibri" w:hAnsi="Calibri" w:cs="Calibri"/>
                <w:color w:val="000000"/>
                <w:sz w:val="20"/>
                <w:szCs w:val="20"/>
              </w:rPr>
              <w:t>174 (182,2)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7B" w:rsidRPr="00F05C7B" w:rsidRDefault="00F05C7B" w:rsidP="00F05C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C7B">
              <w:rPr>
                <w:rFonts w:ascii="Calibri" w:hAnsi="Calibri" w:cs="Calibri"/>
                <w:sz w:val="20"/>
                <w:szCs w:val="20"/>
              </w:rPr>
              <w:t>4,5 (4,7)</w:t>
            </w:r>
          </w:p>
        </w:tc>
      </w:tr>
    </w:tbl>
    <w:p w:rsidR="002564BE" w:rsidRDefault="002564BE" w:rsidP="002564BE">
      <w:pPr>
        <w:rPr>
          <w:rFonts w:ascii="Calibri" w:hAnsi="Calibri" w:cs="Calibri"/>
          <w:b/>
          <w:bCs/>
          <w:sz w:val="20"/>
          <w:szCs w:val="20"/>
          <w:lang w:val="cs-CZ" w:eastAsia="en-GB"/>
        </w:rPr>
      </w:pPr>
    </w:p>
    <w:p w:rsidR="002564BE" w:rsidRDefault="002564BE" w:rsidP="002564BE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:rsidR="007C69DC" w:rsidRPr="0008659E" w:rsidRDefault="00670028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</w:pPr>
      <w:r w:rsidRPr="0008659E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>Kontakt</w:t>
      </w:r>
      <w:r w:rsidR="003C237F" w:rsidRPr="0008659E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>y</w:t>
      </w:r>
      <w:r w:rsidR="00AE1530" w:rsidRPr="0008659E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 xml:space="preserve"> pro média</w:t>
      </w:r>
    </w:p>
    <w:p w:rsidR="00AD4BFC" w:rsidRPr="00D20D13" w:rsidRDefault="00AD4BFC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  <w:sectPr w:rsidR="00AD4BFC" w:rsidRPr="00D20D13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:rsidR="00AE1530" w:rsidRPr="00D20D13" w:rsidRDefault="00AE1530" w:rsidP="0054105B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:rsidR="00AD4BFC" w:rsidRPr="00D20D13" w:rsidRDefault="00AD4BFC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  <w:sectPr w:rsidR="00AD4BFC" w:rsidRPr="00D20D13" w:rsidSect="0054105B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:rsidR="00AE1530" w:rsidRPr="0008659E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t>Michal Malysa</w:t>
      </w:r>
    </w:p>
    <w:p w:rsidR="00AE1530" w:rsidRPr="0008659E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8659E">
        <w:rPr>
          <w:rFonts w:ascii="Calibri" w:hAnsi="Calibri" w:cs="Calibri"/>
          <w:sz w:val="22"/>
          <w:szCs w:val="22"/>
          <w:shd w:val="clear" w:color="auto" w:fill="FFFFFF"/>
        </w:rPr>
        <w:t>Head</w:t>
      </w:r>
      <w:proofErr w:type="spellEnd"/>
      <w:r w:rsidRPr="0008659E">
        <w:rPr>
          <w:rFonts w:ascii="Calibri" w:hAnsi="Calibri" w:cs="Calibri"/>
          <w:sz w:val="22"/>
          <w:szCs w:val="22"/>
          <w:shd w:val="clear" w:color="auto" w:fill="FFFFFF"/>
        </w:rPr>
        <w:t xml:space="preserve"> of PR and Communications</w:t>
      </w:r>
    </w:p>
    <w:p w:rsidR="00AE1530" w:rsidRPr="0008659E" w:rsidRDefault="004A4E6C" w:rsidP="00AE1530">
      <w:pPr>
        <w:pStyle w:val="Text"/>
        <w:spacing w:line="240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hyperlink r:id="rId15" w:history="1">
        <w:r w:rsidR="00AE1530" w:rsidRPr="0008659E">
          <w:rPr>
            <w:rStyle w:val="Hyperlink"/>
            <w:rFonts w:ascii="Calibri" w:hAnsi="Calibri" w:cs="Calibri"/>
            <w:color w:val="000000" w:themeColor="text1"/>
            <w:sz w:val="22"/>
            <w:szCs w:val="22"/>
            <w:shd w:val="clear" w:color="auto" w:fill="FFFFFF"/>
          </w:rPr>
          <w:t>mmalysa@deloittece.com</w:t>
        </w:r>
      </w:hyperlink>
      <w:r w:rsidR="00AE1530" w:rsidRPr="0008659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4105B" w:rsidRPr="0008659E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t>Tel: +420 775</w:t>
      </w:r>
      <w:r w:rsidR="003C237F" w:rsidRPr="0008659E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08659E">
        <w:rPr>
          <w:rFonts w:ascii="Calibri" w:hAnsi="Calibri" w:cs="Calibri"/>
          <w:sz w:val="22"/>
          <w:szCs w:val="22"/>
          <w:shd w:val="clear" w:color="auto" w:fill="FFFFFF"/>
        </w:rPr>
        <w:t>708</w:t>
      </w:r>
      <w:r w:rsidR="0054105B" w:rsidRPr="0008659E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08659E">
        <w:rPr>
          <w:rFonts w:ascii="Calibri" w:hAnsi="Calibri" w:cs="Calibri"/>
          <w:sz w:val="22"/>
          <w:szCs w:val="22"/>
          <w:shd w:val="clear" w:color="auto" w:fill="FFFFFF"/>
        </w:rPr>
        <w:t>086</w:t>
      </w:r>
    </w:p>
    <w:p w:rsidR="003C237F" w:rsidRPr="0008659E" w:rsidRDefault="0054105B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br w:type="column"/>
      </w:r>
      <w:r w:rsidR="003C3075" w:rsidRPr="0008659E">
        <w:rPr>
          <w:rFonts w:ascii="Calibri" w:hAnsi="Calibri" w:cs="Calibri"/>
          <w:sz w:val="22"/>
          <w:szCs w:val="22"/>
          <w:shd w:val="clear" w:color="auto" w:fill="FFFFFF"/>
        </w:rPr>
        <w:t>Jana Morávková</w:t>
      </w:r>
    </w:p>
    <w:p w:rsidR="003C237F" w:rsidRPr="0008659E" w:rsidRDefault="003C237F" w:rsidP="00AE1530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Senior Media and PR </w:t>
      </w:r>
      <w:proofErr w:type="spellStart"/>
      <w:r w:rsidRPr="0008659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Specialist</w:t>
      </w:r>
      <w:proofErr w:type="spellEnd"/>
    </w:p>
    <w:p w:rsidR="003C237F" w:rsidRPr="0008659E" w:rsidRDefault="004A4E6C" w:rsidP="00AE1530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hyperlink r:id="rId16" w:history="1">
        <w:r w:rsidR="003C3075" w:rsidRPr="0008659E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jmoravkova@deloittece.com</w:t>
        </w:r>
      </w:hyperlink>
      <w:r w:rsidR="003C3075" w:rsidRPr="0008659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</w:p>
    <w:p w:rsidR="0054105B" w:rsidRPr="0008659E" w:rsidRDefault="003C237F" w:rsidP="00D71149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t>Tel: +420</w:t>
      </w:r>
      <w:r w:rsidR="003C3075" w:rsidRPr="0008659E">
        <w:rPr>
          <w:rFonts w:ascii="Calibri" w:hAnsi="Calibri" w:cs="Calibri"/>
          <w:sz w:val="22"/>
          <w:szCs w:val="22"/>
          <w:shd w:val="clear" w:color="auto" w:fill="FFFFFF"/>
        </w:rPr>
        <w:t> 728 258 798</w:t>
      </w:r>
    </w:p>
    <w:p w:rsidR="0054105B" w:rsidRPr="00D20D13" w:rsidRDefault="0054105B" w:rsidP="00D71149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sectPr w:rsidR="0054105B" w:rsidRPr="00D20D13" w:rsidSect="0054105B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17CA7" w16cid:durableId="1F4F9D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6C" w:rsidRDefault="004A4E6C" w:rsidP="00C702C7">
      <w:r>
        <w:separator/>
      </w:r>
    </w:p>
  </w:endnote>
  <w:endnote w:type="continuationSeparator" w:id="0">
    <w:p w:rsidR="004A4E6C" w:rsidRDefault="004A4E6C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30D35" w:rsidRPr="00D6230E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:rsidR="00B30D35" w:rsidRPr="00D6230E" w:rsidRDefault="00B30D35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62940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62940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62940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A62940" w:rsidRPr="00D6230E">
            <w:rPr>
              <w:noProof/>
            </w:rPr>
            <w:instrText>0</w:instrText>
          </w:r>
          <w:r w:rsidR="00A62940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A62940" w:rsidRPr="00D6230E">
            <w:rPr>
              <w:noProof/>
            </w:rPr>
            <w:t>0</w:t>
          </w:r>
          <w:r w:rsidR="00A62940">
            <w:rPr>
              <w:noProof/>
            </w:rPr>
            <w:t>3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:rsidR="00B30D35" w:rsidRPr="00D6230E" w:rsidRDefault="00B30D35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:rsidR="00B30D35" w:rsidRPr="00335CF3" w:rsidRDefault="00B30D3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35" w:rsidRDefault="00B30D35">
    <w:pPr>
      <w:pStyle w:val="Footer"/>
    </w:pPr>
  </w:p>
  <w:p w:rsidR="00B30D35" w:rsidRDefault="00B30D35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A62940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A62940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A62940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6C" w:rsidRDefault="004A4E6C" w:rsidP="00C702C7">
      <w:r>
        <w:separator/>
      </w:r>
    </w:p>
  </w:footnote>
  <w:footnote w:type="continuationSeparator" w:id="0">
    <w:p w:rsidR="004A4E6C" w:rsidRDefault="004A4E6C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35" w:rsidRDefault="00B30D35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855"/>
    <w:multiLevelType w:val="hybridMultilevel"/>
    <w:tmpl w:val="F1247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0C1C"/>
    <w:multiLevelType w:val="hybridMultilevel"/>
    <w:tmpl w:val="787EDDCA"/>
    <w:lvl w:ilvl="0" w:tplc="040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E9C"/>
    <w:multiLevelType w:val="hybridMultilevel"/>
    <w:tmpl w:val="13FE6F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4"/>
  </w:num>
  <w:num w:numId="9">
    <w:abstractNumId w:val="25"/>
  </w:num>
  <w:num w:numId="10">
    <w:abstractNumId w:val="9"/>
  </w:num>
  <w:num w:numId="11">
    <w:abstractNumId w:val="11"/>
  </w:num>
  <w:num w:numId="12">
    <w:abstractNumId w:val="2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6"/>
  </w:num>
  <w:num w:numId="17">
    <w:abstractNumId w:val="22"/>
  </w:num>
  <w:num w:numId="18">
    <w:abstractNumId w:val="7"/>
  </w:num>
  <w:num w:numId="19">
    <w:abstractNumId w:val="19"/>
  </w:num>
  <w:num w:numId="20">
    <w:abstractNumId w:val="4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8"/>
  </w:num>
  <w:num w:numId="26">
    <w:abstractNumId w:val="14"/>
  </w:num>
  <w:num w:numId="27">
    <w:abstractNumId w:val="10"/>
  </w:num>
  <w:num w:numId="28">
    <w:abstractNumId w:val="13"/>
  </w:num>
  <w:num w:numId="29">
    <w:abstractNumId w:val="30"/>
  </w:num>
  <w:num w:numId="30">
    <w:abstractNumId w:val="12"/>
  </w:num>
  <w:num w:numId="31">
    <w:abstractNumId w:val="21"/>
  </w:num>
  <w:num w:numId="32">
    <w:abstractNumId w:val="15"/>
  </w:num>
  <w:num w:numId="33">
    <w:abstractNumId w:val="18"/>
  </w:num>
  <w:num w:numId="34">
    <w:abstractNumId w:val="27"/>
  </w:num>
  <w:num w:numId="35">
    <w:abstractNumId w:val="20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5CDF"/>
    <w:rsid w:val="000162BC"/>
    <w:rsid w:val="00016A1F"/>
    <w:rsid w:val="000173B3"/>
    <w:rsid w:val="00020D44"/>
    <w:rsid w:val="00021A39"/>
    <w:rsid w:val="00025E7D"/>
    <w:rsid w:val="00031C58"/>
    <w:rsid w:val="000333E8"/>
    <w:rsid w:val="00035DBA"/>
    <w:rsid w:val="00037C17"/>
    <w:rsid w:val="00041DB4"/>
    <w:rsid w:val="000429AC"/>
    <w:rsid w:val="00042B6A"/>
    <w:rsid w:val="00042B99"/>
    <w:rsid w:val="00045CB5"/>
    <w:rsid w:val="0004657A"/>
    <w:rsid w:val="00046F76"/>
    <w:rsid w:val="000516C4"/>
    <w:rsid w:val="000517C0"/>
    <w:rsid w:val="000538F4"/>
    <w:rsid w:val="00061444"/>
    <w:rsid w:val="0006186F"/>
    <w:rsid w:val="00063493"/>
    <w:rsid w:val="000637A6"/>
    <w:rsid w:val="00066BBA"/>
    <w:rsid w:val="00071509"/>
    <w:rsid w:val="00073365"/>
    <w:rsid w:val="000744E0"/>
    <w:rsid w:val="00074EE9"/>
    <w:rsid w:val="00081E21"/>
    <w:rsid w:val="00083DD5"/>
    <w:rsid w:val="0008659E"/>
    <w:rsid w:val="00092341"/>
    <w:rsid w:val="00092349"/>
    <w:rsid w:val="000A7265"/>
    <w:rsid w:val="000A7F05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D2C33"/>
    <w:rsid w:val="000D2DE0"/>
    <w:rsid w:val="000E03EB"/>
    <w:rsid w:val="000E1642"/>
    <w:rsid w:val="000E2C94"/>
    <w:rsid w:val="000E4AA4"/>
    <w:rsid w:val="000E625F"/>
    <w:rsid w:val="000F1119"/>
    <w:rsid w:val="000F2197"/>
    <w:rsid w:val="000F37BD"/>
    <w:rsid w:val="000F59E8"/>
    <w:rsid w:val="000F5C22"/>
    <w:rsid w:val="000F7C09"/>
    <w:rsid w:val="00100A19"/>
    <w:rsid w:val="0010113D"/>
    <w:rsid w:val="001045B6"/>
    <w:rsid w:val="0010462B"/>
    <w:rsid w:val="001066A8"/>
    <w:rsid w:val="0010681F"/>
    <w:rsid w:val="001070FF"/>
    <w:rsid w:val="0011007D"/>
    <w:rsid w:val="001102E2"/>
    <w:rsid w:val="00110604"/>
    <w:rsid w:val="00111011"/>
    <w:rsid w:val="00112B90"/>
    <w:rsid w:val="00121D29"/>
    <w:rsid w:val="00123AD3"/>
    <w:rsid w:val="001263BF"/>
    <w:rsid w:val="001265CF"/>
    <w:rsid w:val="00130191"/>
    <w:rsid w:val="001354B5"/>
    <w:rsid w:val="00135844"/>
    <w:rsid w:val="00135933"/>
    <w:rsid w:val="00136294"/>
    <w:rsid w:val="00136A51"/>
    <w:rsid w:val="00140513"/>
    <w:rsid w:val="001457BC"/>
    <w:rsid w:val="00146A17"/>
    <w:rsid w:val="00147019"/>
    <w:rsid w:val="00157BD7"/>
    <w:rsid w:val="0016074F"/>
    <w:rsid w:val="00163881"/>
    <w:rsid w:val="00163BA8"/>
    <w:rsid w:val="001659E4"/>
    <w:rsid w:val="00167EA0"/>
    <w:rsid w:val="0017076F"/>
    <w:rsid w:val="0017087B"/>
    <w:rsid w:val="001708B9"/>
    <w:rsid w:val="00170F48"/>
    <w:rsid w:val="0017280D"/>
    <w:rsid w:val="00172C5A"/>
    <w:rsid w:val="0017434B"/>
    <w:rsid w:val="001745A5"/>
    <w:rsid w:val="001757CE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45CF"/>
    <w:rsid w:val="001A472D"/>
    <w:rsid w:val="001A48B8"/>
    <w:rsid w:val="001A6D56"/>
    <w:rsid w:val="001B0F94"/>
    <w:rsid w:val="001B1B71"/>
    <w:rsid w:val="001B4494"/>
    <w:rsid w:val="001B4FC0"/>
    <w:rsid w:val="001B5C19"/>
    <w:rsid w:val="001B684B"/>
    <w:rsid w:val="001C2515"/>
    <w:rsid w:val="001C27DF"/>
    <w:rsid w:val="001D0241"/>
    <w:rsid w:val="001D03A7"/>
    <w:rsid w:val="001D21E5"/>
    <w:rsid w:val="001D5301"/>
    <w:rsid w:val="001D5A79"/>
    <w:rsid w:val="001D7F16"/>
    <w:rsid w:val="001E016B"/>
    <w:rsid w:val="001E377C"/>
    <w:rsid w:val="001E558C"/>
    <w:rsid w:val="001E6C8B"/>
    <w:rsid w:val="001E7D3E"/>
    <w:rsid w:val="001F38BE"/>
    <w:rsid w:val="001F489E"/>
    <w:rsid w:val="001F60F0"/>
    <w:rsid w:val="001F61B8"/>
    <w:rsid w:val="001F673A"/>
    <w:rsid w:val="001F6839"/>
    <w:rsid w:val="001F7765"/>
    <w:rsid w:val="00204CBA"/>
    <w:rsid w:val="00211AB1"/>
    <w:rsid w:val="00212852"/>
    <w:rsid w:val="00214048"/>
    <w:rsid w:val="00216CF6"/>
    <w:rsid w:val="00220CCF"/>
    <w:rsid w:val="002226D9"/>
    <w:rsid w:val="00223E35"/>
    <w:rsid w:val="00226734"/>
    <w:rsid w:val="00227F1F"/>
    <w:rsid w:val="00230B70"/>
    <w:rsid w:val="00231B44"/>
    <w:rsid w:val="00232AD1"/>
    <w:rsid w:val="002340B6"/>
    <w:rsid w:val="00234BA2"/>
    <w:rsid w:val="00235475"/>
    <w:rsid w:val="00235582"/>
    <w:rsid w:val="00237008"/>
    <w:rsid w:val="002370AB"/>
    <w:rsid w:val="00237872"/>
    <w:rsid w:val="0024202F"/>
    <w:rsid w:val="00243651"/>
    <w:rsid w:val="00244010"/>
    <w:rsid w:val="00245BD4"/>
    <w:rsid w:val="00247F07"/>
    <w:rsid w:val="00253D2A"/>
    <w:rsid w:val="00255891"/>
    <w:rsid w:val="00255D53"/>
    <w:rsid w:val="00255D5E"/>
    <w:rsid w:val="002564BE"/>
    <w:rsid w:val="00256F15"/>
    <w:rsid w:val="00256FA9"/>
    <w:rsid w:val="002651CA"/>
    <w:rsid w:val="002700A0"/>
    <w:rsid w:val="00277DBB"/>
    <w:rsid w:val="00280B8A"/>
    <w:rsid w:val="002814A6"/>
    <w:rsid w:val="00291CD2"/>
    <w:rsid w:val="00292EF0"/>
    <w:rsid w:val="002930B2"/>
    <w:rsid w:val="00294BBA"/>
    <w:rsid w:val="00295B52"/>
    <w:rsid w:val="00297214"/>
    <w:rsid w:val="002A30BE"/>
    <w:rsid w:val="002A75EA"/>
    <w:rsid w:val="002A7903"/>
    <w:rsid w:val="002B0144"/>
    <w:rsid w:val="002B1A8F"/>
    <w:rsid w:val="002B2376"/>
    <w:rsid w:val="002B4054"/>
    <w:rsid w:val="002B4D02"/>
    <w:rsid w:val="002B6D2E"/>
    <w:rsid w:val="002C06B3"/>
    <w:rsid w:val="002C15A0"/>
    <w:rsid w:val="002C2185"/>
    <w:rsid w:val="002C3FC1"/>
    <w:rsid w:val="002C5426"/>
    <w:rsid w:val="002C5FEA"/>
    <w:rsid w:val="002C690A"/>
    <w:rsid w:val="002C6F50"/>
    <w:rsid w:val="002D41F7"/>
    <w:rsid w:val="002D5F90"/>
    <w:rsid w:val="002E1C00"/>
    <w:rsid w:val="002E48E0"/>
    <w:rsid w:val="002E5DFD"/>
    <w:rsid w:val="002E7099"/>
    <w:rsid w:val="002E71B7"/>
    <w:rsid w:val="002F027D"/>
    <w:rsid w:val="002F179C"/>
    <w:rsid w:val="002F2771"/>
    <w:rsid w:val="002F279A"/>
    <w:rsid w:val="002F3167"/>
    <w:rsid w:val="002F4BD8"/>
    <w:rsid w:val="002F566A"/>
    <w:rsid w:val="003121C1"/>
    <w:rsid w:val="00312A52"/>
    <w:rsid w:val="00312AF8"/>
    <w:rsid w:val="00314451"/>
    <w:rsid w:val="00320EB1"/>
    <w:rsid w:val="003214B6"/>
    <w:rsid w:val="00322315"/>
    <w:rsid w:val="0032373B"/>
    <w:rsid w:val="00324E0F"/>
    <w:rsid w:val="00326A79"/>
    <w:rsid w:val="003306B8"/>
    <w:rsid w:val="00331D1F"/>
    <w:rsid w:val="00333A8A"/>
    <w:rsid w:val="00335CF3"/>
    <w:rsid w:val="00337680"/>
    <w:rsid w:val="00342A72"/>
    <w:rsid w:val="003447FA"/>
    <w:rsid w:val="0034614C"/>
    <w:rsid w:val="00350886"/>
    <w:rsid w:val="00354723"/>
    <w:rsid w:val="003552DE"/>
    <w:rsid w:val="0035565C"/>
    <w:rsid w:val="003567FB"/>
    <w:rsid w:val="003571F5"/>
    <w:rsid w:val="00357E4F"/>
    <w:rsid w:val="00364A9B"/>
    <w:rsid w:val="00364C1F"/>
    <w:rsid w:val="00365A43"/>
    <w:rsid w:val="003661BB"/>
    <w:rsid w:val="00367B44"/>
    <w:rsid w:val="00374E9A"/>
    <w:rsid w:val="00375229"/>
    <w:rsid w:val="00375EB8"/>
    <w:rsid w:val="00376AB2"/>
    <w:rsid w:val="00377AE4"/>
    <w:rsid w:val="003806C9"/>
    <w:rsid w:val="00381032"/>
    <w:rsid w:val="0038581F"/>
    <w:rsid w:val="00385F4A"/>
    <w:rsid w:val="003863C7"/>
    <w:rsid w:val="00387D4C"/>
    <w:rsid w:val="0039181B"/>
    <w:rsid w:val="0039216E"/>
    <w:rsid w:val="003923FD"/>
    <w:rsid w:val="003925FD"/>
    <w:rsid w:val="003A3F8E"/>
    <w:rsid w:val="003A494E"/>
    <w:rsid w:val="003A6239"/>
    <w:rsid w:val="003A6FBF"/>
    <w:rsid w:val="003B052E"/>
    <w:rsid w:val="003B3379"/>
    <w:rsid w:val="003B3C47"/>
    <w:rsid w:val="003B3F96"/>
    <w:rsid w:val="003B52E9"/>
    <w:rsid w:val="003B5F17"/>
    <w:rsid w:val="003B7992"/>
    <w:rsid w:val="003C12AF"/>
    <w:rsid w:val="003C237F"/>
    <w:rsid w:val="003C3075"/>
    <w:rsid w:val="003C34BB"/>
    <w:rsid w:val="003C4BE4"/>
    <w:rsid w:val="003C4DE4"/>
    <w:rsid w:val="003C6525"/>
    <w:rsid w:val="003C6ABB"/>
    <w:rsid w:val="003C7323"/>
    <w:rsid w:val="003D0767"/>
    <w:rsid w:val="003D1A80"/>
    <w:rsid w:val="003D38E7"/>
    <w:rsid w:val="003D3E33"/>
    <w:rsid w:val="003D4000"/>
    <w:rsid w:val="003D4800"/>
    <w:rsid w:val="003E138D"/>
    <w:rsid w:val="003E1820"/>
    <w:rsid w:val="003E49BA"/>
    <w:rsid w:val="003F14A6"/>
    <w:rsid w:val="003F2224"/>
    <w:rsid w:val="0040292C"/>
    <w:rsid w:val="00404121"/>
    <w:rsid w:val="00404297"/>
    <w:rsid w:val="004052BC"/>
    <w:rsid w:val="004066C3"/>
    <w:rsid w:val="00406BB3"/>
    <w:rsid w:val="00412575"/>
    <w:rsid w:val="004127B9"/>
    <w:rsid w:val="00412EA0"/>
    <w:rsid w:val="00413084"/>
    <w:rsid w:val="00421459"/>
    <w:rsid w:val="00422DD1"/>
    <w:rsid w:val="00425F58"/>
    <w:rsid w:val="00427897"/>
    <w:rsid w:val="00430222"/>
    <w:rsid w:val="004314E1"/>
    <w:rsid w:val="00432002"/>
    <w:rsid w:val="0044117C"/>
    <w:rsid w:val="00442A9B"/>
    <w:rsid w:val="00443656"/>
    <w:rsid w:val="00443B25"/>
    <w:rsid w:val="00444BB1"/>
    <w:rsid w:val="0044558B"/>
    <w:rsid w:val="004509E3"/>
    <w:rsid w:val="004513B9"/>
    <w:rsid w:val="00451AD9"/>
    <w:rsid w:val="004575CB"/>
    <w:rsid w:val="00460416"/>
    <w:rsid w:val="00463649"/>
    <w:rsid w:val="0046630F"/>
    <w:rsid w:val="00467802"/>
    <w:rsid w:val="00470584"/>
    <w:rsid w:val="00472E38"/>
    <w:rsid w:val="00473530"/>
    <w:rsid w:val="00473614"/>
    <w:rsid w:val="004820D9"/>
    <w:rsid w:val="004829BD"/>
    <w:rsid w:val="00482C7D"/>
    <w:rsid w:val="004834BD"/>
    <w:rsid w:val="0048369A"/>
    <w:rsid w:val="00485EDC"/>
    <w:rsid w:val="004860A3"/>
    <w:rsid w:val="00486736"/>
    <w:rsid w:val="0049053D"/>
    <w:rsid w:val="004973D3"/>
    <w:rsid w:val="004A0DCC"/>
    <w:rsid w:val="004A1A74"/>
    <w:rsid w:val="004A4E6C"/>
    <w:rsid w:val="004A6C6D"/>
    <w:rsid w:val="004B6080"/>
    <w:rsid w:val="004C0DA7"/>
    <w:rsid w:val="004C11F6"/>
    <w:rsid w:val="004C2616"/>
    <w:rsid w:val="004C5D1B"/>
    <w:rsid w:val="004C5EEF"/>
    <w:rsid w:val="004C62D1"/>
    <w:rsid w:val="004D159E"/>
    <w:rsid w:val="004D1F57"/>
    <w:rsid w:val="004D2D8D"/>
    <w:rsid w:val="004D49A7"/>
    <w:rsid w:val="004D49FC"/>
    <w:rsid w:val="004D7437"/>
    <w:rsid w:val="004D753A"/>
    <w:rsid w:val="004D7E85"/>
    <w:rsid w:val="004E6CD0"/>
    <w:rsid w:val="004F253E"/>
    <w:rsid w:val="004F366A"/>
    <w:rsid w:val="004F47B4"/>
    <w:rsid w:val="004F4A4B"/>
    <w:rsid w:val="004F6511"/>
    <w:rsid w:val="00501EFF"/>
    <w:rsid w:val="00502E61"/>
    <w:rsid w:val="00502F4D"/>
    <w:rsid w:val="00506A88"/>
    <w:rsid w:val="00512184"/>
    <w:rsid w:val="005127D3"/>
    <w:rsid w:val="005143FD"/>
    <w:rsid w:val="00521A6C"/>
    <w:rsid w:val="0052273D"/>
    <w:rsid w:val="00524F83"/>
    <w:rsid w:val="00526863"/>
    <w:rsid w:val="00526B4A"/>
    <w:rsid w:val="005270F9"/>
    <w:rsid w:val="00532D2B"/>
    <w:rsid w:val="0053447E"/>
    <w:rsid w:val="00535B8C"/>
    <w:rsid w:val="0053681B"/>
    <w:rsid w:val="00536ADD"/>
    <w:rsid w:val="005379BF"/>
    <w:rsid w:val="00540427"/>
    <w:rsid w:val="0054105B"/>
    <w:rsid w:val="00542505"/>
    <w:rsid w:val="00543BA8"/>
    <w:rsid w:val="00543ED3"/>
    <w:rsid w:val="00544D24"/>
    <w:rsid w:val="00557EB3"/>
    <w:rsid w:val="00561BEF"/>
    <w:rsid w:val="00563441"/>
    <w:rsid w:val="00563791"/>
    <w:rsid w:val="00563C6F"/>
    <w:rsid w:val="00564622"/>
    <w:rsid w:val="00564F21"/>
    <w:rsid w:val="0056514C"/>
    <w:rsid w:val="005664A0"/>
    <w:rsid w:val="00573556"/>
    <w:rsid w:val="00573D2F"/>
    <w:rsid w:val="005766A6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5208"/>
    <w:rsid w:val="005A6392"/>
    <w:rsid w:val="005A65A5"/>
    <w:rsid w:val="005A6C59"/>
    <w:rsid w:val="005B0547"/>
    <w:rsid w:val="005B300B"/>
    <w:rsid w:val="005B58BD"/>
    <w:rsid w:val="005B6B53"/>
    <w:rsid w:val="005B7703"/>
    <w:rsid w:val="005C23D6"/>
    <w:rsid w:val="005D2BF7"/>
    <w:rsid w:val="005D31A3"/>
    <w:rsid w:val="005D52CF"/>
    <w:rsid w:val="005D5512"/>
    <w:rsid w:val="005D6407"/>
    <w:rsid w:val="005E3501"/>
    <w:rsid w:val="005E6723"/>
    <w:rsid w:val="005F2682"/>
    <w:rsid w:val="005F3D7B"/>
    <w:rsid w:val="005F525A"/>
    <w:rsid w:val="005F54F5"/>
    <w:rsid w:val="005F68FD"/>
    <w:rsid w:val="005F74C0"/>
    <w:rsid w:val="00603019"/>
    <w:rsid w:val="00605199"/>
    <w:rsid w:val="00605C02"/>
    <w:rsid w:val="0061215A"/>
    <w:rsid w:val="0061396C"/>
    <w:rsid w:val="006170F6"/>
    <w:rsid w:val="00624C5E"/>
    <w:rsid w:val="00626C52"/>
    <w:rsid w:val="00626FD8"/>
    <w:rsid w:val="00634192"/>
    <w:rsid w:val="006427A0"/>
    <w:rsid w:val="00643401"/>
    <w:rsid w:val="006452B5"/>
    <w:rsid w:val="006464CD"/>
    <w:rsid w:val="0064751E"/>
    <w:rsid w:val="00647D69"/>
    <w:rsid w:val="00650D85"/>
    <w:rsid w:val="00650FD5"/>
    <w:rsid w:val="006528C9"/>
    <w:rsid w:val="00655FFB"/>
    <w:rsid w:val="00656274"/>
    <w:rsid w:val="00656F10"/>
    <w:rsid w:val="006616DC"/>
    <w:rsid w:val="00665E67"/>
    <w:rsid w:val="00666D99"/>
    <w:rsid w:val="006673E8"/>
    <w:rsid w:val="00670028"/>
    <w:rsid w:val="00670970"/>
    <w:rsid w:val="00671EC0"/>
    <w:rsid w:val="00676F48"/>
    <w:rsid w:val="00677160"/>
    <w:rsid w:val="0067770B"/>
    <w:rsid w:val="00677A18"/>
    <w:rsid w:val="006821E6"/>
    <w:rsid w:val="00686056"/>
    <w:rsid w:val="0068654F"/>
    <w:rsid w:val="00687DA1"/>
    <w:rsid w:val="00691C32"/>
    <w:rsid w:val="00692223"/>
    <w:rsid w:val="006A1BF3"/>
    <w:rsid w:val="006A1D32"/>
    <w:rsid w:val="006A473D"/>
    <w:rsid w:val="006A5A9D"/>
    <w:rsid w:val="006A6279"/>
    <w:rsid w:val="006A64B0"/>
    <w:rsid w:val="006B0513"/>
    <w:rsid w:val="006B05ED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D1DB1"/>
    <w:rsid w:val="006D2C86"/>
    <w:rsid w:val="006D2CCA"/>
    <w:rsid w:val="006D6A17"/>
    <w:rsid w:val="006E2FA5"/>
    <w:rsid w:val="006E3221"/>
    <w:rsid w:val="006E5B11"/>
    <w:rsid w:val="006E7358"/>
    <w:rsid w:val="006F5115"/>
    <w:rsid w:val="006F66DF"/>
    <w:rsid w:val="006F6D75"/>
    <w:rsid w:val="00705766"/>
    <w:rsid w:val="0070671A"/>
    <w:rsid w:val="00706E27"/>
    <w:rsid w:val="00711CDC"/>
    <w:rsid w:val="0071213F"/>
    <w:rsid w:val="00714960"/>
    <w:rsid w:val="007172D9"/>
    <w:rsid w:val="00720888"/>
    <w:rsid w:val="00720A17"/>
    <w:rsid w:val="0072138D"/>
    <w:rsid w:val="00726832"/>
    <w:rsid w:val="0072746D"/>
    <w:rsid w:val="007312AA"/>
    <w:rsid w:val="007342AA"/>
    <w:rsid w:val="00734C1B"/>
    <w:rsid w:val="007408CA"/>
    <w:rsid w:val="00742BA9"/>
    <w:rsid w:val="007460A4"/>
    <w:rsid w:val="00750D3B"/>
    <w:rsid w:val="00750F80"/>
    <w:rsid w:val="007516F0"/>
    <w:rsid w:val="0075197C"/>
    <w:rsid w:val="00753A99"/>
    <w:rsid w:val="007550AB"/>
    <w:rsid w:val="00756E07"/>
    <w:rsid w:val="007604FB"/>
    <w:rsid w:val="007653DA"/>
    <w:rsid w:val="0076614E"/>
    <w:rsid w:val="00767FF2"/>
    <w:rsid w:val="00773725"/>
    <w:rsid w:val="007739C0"/>
    <w:rsid w:val="00776F43"/>
    <w:rsid w:val="0078427C"/>
    <w:rsid w:val="00784EB7"/>
    <w:rsid w:val="0079305A"/>
    <w:rsid w:val="00796D05"/>
    <w:rsid w:val="007A1421"/>
    <w:rsid w:val="007A1D1C"/>
    <w:rsid w:val="007A1E84"/>
    <w:rsid w:val="007A211F"/>
    <w:rsid w:val="007A30C4"/>
    <w:rsid w:val="007A6FE8"/>
    <w:rsid w:val="007A7E33"/>
    <w:rsid w:val="007B197A"/>
    <w:rsid w:val="007B29C4"/>
    <w:rsid w:val="007B2FB1"/>
    <w:rsid w:val="007B4AD8"/>
    <w:rsid w:val="007B6CCD"/>
    <w:rsid w:val="007C008A"/>
    <w:rsid w:val="007C0C20"/>
    <w:rsid w:val="007C2A5C"/>
    <w:rsid w:val="007C69DC"/>
    <w:rsid w:val="007C7944"/>
    <w:rsid w:val="007C7C55"/>
    <w:rsid w:val="007D7A4D"/>
    <w:rsid w:val="007E03C0"/>
    <w:rsid w:val="007E2034"/>
    <w:rsid w:val="007E2836"/>
    <w:rsid w:val="007E568A"/>
    <w:rsid w:val="007E651C"/>
    <w:rsid w:val="007F0D03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28A"/>
    <w:rsid w:val="008117D0"/>
    <w:rsid w:val="00812D6B"/>
    <w:rsid w:val="00813DBC"/>
    <w:rsid w:val="00813F7A"/>
    <w:rsid w:val="00821F18"/>
    <w:rsid w:val="00822995"/>
    <w:rsid w:val="00822FC7"/>
    <w:rsid w:val="00824FEC"/>
    <w:rsid w:val="00825CB7"/>
    <w:rsid w:val="0082696E"/>
    <w:rsid w:val="00830A4F"/>
    <w:rsid w:val="0083625B"/>
    <w:rsid w:val="0083784E"/>
    <w:rsid w:val="00841D47"/>
    <w:rsid w:val="00843267"/>
    <w:rsid w:val="0084432D"/>
    <w:rsid w:val="008443BF"/>
    <w:rsid w:val="0084530F"/>
    <w:rsid w:val="00850BE5"/>
    <w:rsid w:val="00852287"/>
    <w:rsid w:val="00853567"/>
    <w:rsid w:val="00855A9A"/>
    <w:rsid w:val="00855E24"/>
    <w:rsid w:val="00856A0E"/>
    <w:rsid w:val="00861870"/>
    <w:rsid w:val="008631CE"/>
    <w:rsid w:val="0086443E"/>
    <w:rsid w:val="00872FD2"/>
    <w:rsid w:val="00873D35"/>
    <w:rsid w:val="00876869"/>
    <w:rsid w:val="00893A66"/>
    <w:rsid w:val="00894F9A"/>
    <w:rsid w:val="00896BD0"/>
    <w:rsid w:val="00897E23"/>
    <w:rsid w:val="008B26FD"/>
    <w:rsid w:val="008B2E86"/>
    <w:rsid w:val="008B2F37"/>
    <w:rsid w:val="008B3CF0"/>
    <w:rsid w:val="008C0EAA"/>
    <w:rsid w:val="008C2533"/>
    <w:rsid w:val="008C58E8"/>
    <w:rsid w:val="008C5A91"/>
    <w:rsid w:val="008D24E1"/>
    <w:rsid w:val="008D610F"/>
    <w:rsid w:val="008E23CC"/>
    <w:rsid w:val="008E2830"/>
    <w:rsid w:val="008E3008"/>
    <w:rsid w:val="008E7B8E"/>
    <w:rsid w:val="008E7ED3"/>
    <w:rsid w:val="008F31BA"/>
    <w:rsid w:val="008F377A"/>
    <w:rsid w:val="008F4E81"/>
    <w:rsid w:val="008F5810"/>
    <w:rsid w:val="008F7BA8"/>
    <w:rsid w:val="00904097"/>
    <w:rsid w:val="009053F7"/>
    <w:rsid w:val="00905422"/>
    <w:rsid w:val="009066A6"/>
    <w:rsid w:val="009070D1"/>
    <w:rsid w:val="00911AB0"/>
    <w:rsid w:val="00913D0E"/>
    <w:rsid w:val="0092483B"/>
    <w:rsid w:val="00930258"/>
    <w:rsid w:val="00930583"/>
    <w:rsid w:val="00930A39"/>
    <w:rsid w:val="0093231E"/>
    <w:rsid w:val="00934055"/>
    <w:rsid w:val="009347CD"/>
    <w:rsid w:val="009350F0"/>
    <w:rsid w:val="009412BF"/>
    <w:rsid w:val="009419A4"/>
    <w:rsid w:val="009423C5"/>
    <w:rsid w:val="00943BA0"/>
    <w:rsid w:val="00952D32"/>
    <w:rsid w:val="00954645"/>
    <w:rsid w:val="00956E68"/>
    <w:rsid w:val="00957BA0"/>
    <w:rsid w:val="00960968"/>
    <w:rsid w:val="00961F34"/>
    <w:rsid w:val="00971261"/>
    <w:rsid w:val="0097715F"/>
    <w:rsid w:val="00977BEA"/>
    <w:rsid w:val="00982B9A"/>
    <w:rsid w:val="009832DD"/>
    <w:rsid w:val="009909A1"/>
    <w:rsid w:val="00991538"/>
    <w:rsid w:val="00992A4B"/>
    <w:rsid w:val="0099372E"/>
    <w:rsid w:val="00994C96"/>
    <w:rsid w:val="00995104"/>
    <w:rsid w:val="00995D30"/>
    <w:rsid w:val="009960F2"/>
    <w:rsid w:val="00997E1F"/>
    <w:rsid w:val="009A0464"/>
    <w:rsid w:val="009A44A5"/>
    <w:rsid w:val="009B058D"/>
    <w:rsid w:val="009B139F"/>
    <w:rsid w:val="009B2D95"/>
    <w:rsid w:val="009B452A"/>
    <w:rsid w:val="009B4EA8"/>
    <w:rsid w:val="009B60B8"/>
    <w:rsid w:val="009B78B3"/>
    <w:rsid w:val="009C403B"/>
    <w:rsid w:val="009C502B"/>
    <w:rsid w:val="009C6C16"/>
    <w:rsid w:val="009D3564"/>
    <w:rsid w:val="009D5174"/>
    <w:rsid w:val="009D57E3"/>
    <w:rsid w:val="009D7F97"/>
    <w:rsid w:val="009E0038"/>
    <w:rsid w:val="009E006D"/>
    <w:rsid w:val="009E02B4"/>
    <w:rsid w:val="009E0A65"/>
    <w:rsid w:val="009E19DE"/>
    <w:rsid w:val="009E34EE"/>
    <w:rsid w:val="009E5122"/>
    <w:rsid w:val="009E66CE"/>
    <w:rsid w:val="009E6D3B"/>
    <w:rsid w:val="009E6E8A"/>
    <w:rsid w:val="00A043CA"/>
    <w:rsid w:val="00A063EE"/>
    <w:rsid w:val="00A12074"/>
    <w:rsid w:val="00A13F7C"/>
    <w:rsid w:val="00A161A4"/>
    <w:rsid w:val="00A17957"/>
    <w:rsid w:val="00A21B8A"/>
    <w:rsid w:val="00A2213E"/>
    <w:rsid w:val="00A22C63"/>
    <w:rsid w:val="00A253B8"/>
    <w:rsid w:val="00A30FC3"/>
    <w:rsid w:val="00A31E80"/>
    <w:rsid w:val="00A32258"/>
    <w:rsid w:val="00A33333"/>
    <w:rsid w:val="00A3485B"/>
    <w:rsid w:val="00A3722C"/>
    <w:rsid w:val="00A37554"/>
    <w:rsid w:val="00A43B3E"/>
    <w:rsid w:val="00A5359B"/>
    <w:rsid w:val="00A6066A"/>
    <w:rsid w:val="00A62940"/>
    <w:rsid w:val="00A659E1"/>
    <w:rsid w:val="00A704B4"/>
    <w:rsid w:val="00A72172"/>
    <w:rsid w:val="00A72778"/>
    <w:rsid w:val="00A7281A"/>
    <w:rsid w:val="00A80E26"/>
    <w:rsid w:val="00A82094"/>
    <w:rsid w:val="00A85445"/>
    <w:rsid w:val="00A900CC"/>
    <w:rsid w:val="00A9095F"/>
    <w:rsid w:val="00A94861"/>
    <w:rsid w:val="00A958FA"/>
    <w:rsid w:val="00A97EDE"/>
    <w:rsid w:val="00AA34E3"/>
    <w:rsid w:val="00AA4905"/>
    <w:rsid w:val="00AA538C"/>
    <w:rsid w:val="00AA6EEE"/>
    <w:rsid w:val="00AA7778"/>
    <w:rsid w:val="00AB32A9"/>
    <w:rsid w:val="00AB3CA3"/>
    <w:rsid w:val="00AB3DD5"/>
    <w:rsid w:val="00AC02AA"/>
    <w:rsid w:val="00AC1D94"/>
    <w:rsid w:val="00AC2081"/>
    <w:rsid w:val="00AD1749"/>
    <w:rsid w:val="00AD4BFC"/>
    <w:rsid w:val="00AD6475"/>
    <w:rsid w:val="00AE0FC7"/>
    <w:rsid w:val="00AE1530"/>
    <w:rsid w:val="00AE19B7"/>
    <w:rsid w:val="00AE30D7"/>
    <w:rsid w:val="00AE668B"/>
    <w:rsid w:val="00AE6C40"/>
    <w:rsid w:val="00AE710A"/>
    <w:rsid w:val="00AE733C"/>
    <w:rsid w:val="00AF2A10"/>
    <w:rsid w:val="00AF34A3"/>
    <w:rsid w:val="00B007B4"/>
    <w:rsid w:val="00B020E4"/>
    <w:rsid w:val="00B055B1"/>
    <w:rsid w:val="00B0660D"/>
    <w:rsid w:val="00B06697"/>
    <w:rsid w:val="00B07477"/>
    <w:rsid w:val="00B137F1"/>
    <w:rsid w:val="00B176C3"/>
    <w:rsid w:val="00B20E03"/>
    <w:rsid w:val="00B24064"/>
    <w:rsid w:val="00B253A1"/>
    <w:rsid w:val="00B262AB"/>
    <w:rsid w:val="00B2702C"/>
    <w:rsid w:val="00B30D35"/>
    <w:rsid w:val="00B33CB7"/>
    <w:rsid w:val="00B352FA"/>
    <w:rsid w:val="00B36B5C"/>
    <w:rsid w:val="00B36D31"/>
    <w:rsid w:val="00B3754E"/>
    <w:rsid w:val="00B43146"/>
    <w:rsid w:val="00B43EEE"/>
    <w:rsid w:val="00B44A23"/>
    <w:rsid w:val="00B45159"/>
    <w:rsid w:val="00B46969"/>
    <w:rsid w:val="00B47A1D"/>
    <w:rsid w:val="00B47CC0"/>
    <w:rsid w:val="00B508A8"/>
    <w:rsid w:val="00B518A0"/>
    <w:rsid w:val="00B55B9C"/>
    <w:rsid w:val="00B600A5"/>
    <w:rsid w:val="00B615EA"/>
    <w:rsid w:val="00B617CD"/>
    <w:rsid w:val="00B61848"/>
    <w:rsid w:val="00B6324A"/>
    <w:rsid w:val="00B66FC9"/>
    <w:rsid w:val="00B71759"/>
    <w:rsid w:val="00B7211E"/>
    <w:rsid w:val="00B7599D"/>
    <w:rsid w:val="00B76712"/>
    <w:rsid w:val="00B76AF5"/>
    <w:rsid w:val="00B7734A"/>
    <w:rsid w:val="00B77C4F"/>
    <w:rsid w:val="00B77CB6"/>
    <w:rsid w:val="00B805E0"/>
    <w:rsid w:val="00B87C07"/>
    <w:rsid w:val="00B955FF"/>
    <w:rsid w:val="00B962CB"/>
    <w:rsid w:val="00BA03EA"/>
    <w:rsid w:val="00BA5F35"/>
    <w:rsid w:val="00BA6454"/>
    <w:rsid w:val="00BB17E6"/>
    <w:rsid w:val="00BB3518"/>
    <w:rsid w:val="00BB3B47"/>
    <w:rsid w:val="00BB4A7A"/>
    <w:rsid w:val="00BB6CB3"/>
    <w:rsid w:val="00BB7632"/>
    <w:rsid w:val="00BC0047"/>
    <w:rsid w:val="00BC09AD"/>
    <w:rsid w:val="00BC17DC"/>
    <w:rsid w:val="00BC1C76"/>
    <w:rsid w:val="00BC266F"/>
    <w:rsid w:val="00BC34BB"/>
    <w:rsid w:val="00BC39D2"/>
    <w:rsid w:val="00BC547A"/>
    <w:rsid w:val="00BC7685"/>
    <w:rsid w:val="00BD11F9"/>
    <w:rsid w:val="00BD1EAB"/>
    <w:rsid w:val="00BD2206"/>
    <w:rsid w:val="00BD60EA"/>
    <w:rsid w:val="00BD6784"/>
    <w:rsid w:val="00BD7C1F"/>
    <w:rsid w:val="00BE3894"/>
    <w:rsid w:val="00BE48D2"/>
    <w:rsid w:val="00BE6F1B"/>
    <w:rsid w:val="00BE77B1"/>
    <w:rsid w:val="00BF67EE"/>
    <w:rsid w:val="00BF6F8B"/>
    <w:rsid w:val="00C0226D"/>
    <w:rsid w:val="00C04DCF"/>
    <w:rsid w:val="00C04F0F"/>
    <w:rsid w:val="00C06177"/>
    <w:rsid w:val="00C075EA"/>
    <w:rsid w:val="00C12258"/>
    <w:rsid w:val="00C12305"/>
    <w:rsid w:val="00C14C5A"/>
    <w:rsid w:val="00C158DA"/>
    <w:rsid w:val="00C23990"/>
    <w:rsid w:val="00C244CE"/>
    <w:rsid w:val="00C25EC1"/>
    <w:rsid w:val="00C33DF0"/>
    <w:rsid w:val="00C34C43"/>
    <w:rsid w:val="00C41134"/>
    <w:rsid w:val="00C41BEB"/>
    <w:rsid w:val="00C43367"/>
    <w:rsid w:val="00C442F2"/>
    <w:rsid w:val="00C45625"/>
    <w:rsid w:val="00C456AE"/>
    <w:rsid w:val="00C50A26"/>
    <w:rsid w:val="00C61AC6"/>
    <w:rsid w:val="00C61B6B"/>
    <w:rsid w:val="00C623AA"/>
    <w:rsid w:val="00C6394D"/>
    <w:rsid w:val="00C648C7"/>
    <w:rsid w:val="00C67491"/>
    <w:rsid w:val="00C67530"/>
    <w:rsid w:val="00C702C7"/>
    <w:rsid w:val="00C72DF4"/>
    <w:rsid w:val="00C73A96"/>
    <w:rsid w:val="00C7429C"/>
    <w:rsid w:val="00C762EB"/>
    <w:rsid w:val="00C77DEA"/>
    <w:rsid w:val="00C81837"/>
    <w:rsid w:val="00C85FC4"/>
    <w:rsid w:val="00C8703B"/>
    <w:rsid w:val="00C94C4A"/>
    <w:rsid w:val="00CA1AD8"/>
    <w:rsid w:val="00CA4E63"/>
    <w:rsid w:val="00CA5B05"/>
    <w:rsid w:val="00CA6553"/>
    <w:rsid w:val="00CB2C16"/>
    <w:rsid w:val="00CB31E0"/>
    <w:rsid w:val="00CB4E61"/>
    <w:rsid w:val="00CB5ACF"/>
    <w:rsid w:val="00CC0231"/>
    <w:rsid w:val="00CC2A1A"/>
    <w:rsid w:val="00CC58E8"/>
    <w:rsid w:val="00CC5E8F"/>
    <w:rsid w:val="00CC69B1"/>
    <w:rsid w:val="00CD14A8"/>
    <w:rsid w:val="00CD5842"/>
    <w:rsid w:val="00CE1D9F"/>
    <w:rsid w:val="00CE1E1B"/>
    <w:rsid w:val="00CE4214"/>
    <w:rsid w:val="00CF07A9"/>
    <w:rsid w:val="00CF084F"/>
    <w:rsid w:val="00CF3C31"/>
    <w:rsid w:val="00CF3CA4"/>
    <w:rsid w:val="00CF3EA1"/>
    <w:rsid w:val="00CF546E"/>
    <w:rsid w:val="00CF7BB7"/>
    <w:rsid w:val="00CF7F7F"/>
    <w:rsid w:val="00D0023B"/>
    <w:rsid w:val="00D002E3"/>
    <w:rsid w:val="00D0038F"/>
    <w:rsid w:val="00D01239"/>
    <w:rsid w:val="00D01AD8"/>
    <w:rsid w:val="00D03C22"/>
    <w:rsid w:val="00D05AF5"/>
    <w:rsid w:val="00D10E36"/>
    <w:rsid w:val="00D116E0"/>
    <w:rsid w:val="00D149B4"/>
    <w:rsid w:val="00D15035"/>
    <w:rsid w:val="00D15EC1"/>
    <w:rsid w:val="00D16C23"/>
    <w:rsid w:val="00D173FA"/>
    <w:rsid w:val="00D20D13"/>
    <w:rsid w:val="00D21E24"/>
    <w:rsid w:val="00D224C4"/>
    <w:rsid w:val="00D236E8"/>
    <w:rsid w:val="00D27B73"/>
    <w:rsid w:val="00D32371"/>
    <w:rsid w:val="00D329DF"/>
    <w:rsid w:val="00D33A2B"/>
    <w:rsid w:val="00D35C72"/>
    <w:rsid w:val="00D36E73"/>
    <w:rsid w:val="00D407CA"/>
    <w:rsid w:val="00D41E6A"/>
    <w:rsid w:val="00D4226D"/>
    <w:rsid w:val="00D4280C"/>
    <w:rsid w:val="00D445B7"/>
    <w:rsid w:val="00D46CC5"/>
    <w:rsid w:val="00D5038F"/>
    <w:rsid w:val="00D5297D"/>
    <w:rsid w:val="00D52A6A"/>
    <w:rsid w:val="00D53D4E"/>
    <w:rsid w:val="00D55351"/>
    <w:rsid w:val="00D574B4"/>
    <w:rsid w:val="00D61DFC"/>
    <w:rsid w:val="00D6230E"/>
    <w:rsid w:val="00D668FE"/>
    <w:rsid w:val="00D710FC"/>
    <w:rsid w:val="00D71149"/>
    <w:rsid w:val="00D7145E"/>
    <w:rsid w:val="00D732C2"/>
    <w:rsid w:val="00D74462"/>
    <w:rsid w:val="00D746F4"/>
    <w:rsid w:val="00D768FD"/>
    <w:rsid w:val="00D7732D"/>
    <w:rsid w:val="00D77643"/>
    <w:rsid w:val="00D80683"/>
    <w:rsid w:val="00D812B0"/>
    <w:rsid w:val="00D815D0"/>
    <w:rsid w:val="00D8495C"/>
    <w:rsid w:val="00D855FD"/>
    <w:rsid w:val="00D859E3"/>
    <w:rsid w:val="00D91C72"/>
    <w:rsid w:val="00DA1962"/>
    <w:rsid w:val="00DA37E3"/>
    <w:rsid w:val="00DA53B6"/>
    <w:rsid w:val="00DB0CB1"/>
    <w:rsid w:val="00DB5CC2"/>
    <w:rsid w:val="00DB5D79"/>
    <w:rsid w:val="00DB651C"/>
    <w:rsid w:val="00DC1476"/>
    <w:rsid w:val="00DC1D59"/>
    <w:rsid w:val="00DC442A"/>
    <w:rsid w:val="00DC4D91"/>
    <w:rsid w:val="00DC65D0"/>
    <w:rsid w:val="00DC708A"/>
    <w:rsid w:val="00DD22B6"/>
    <w:rsid w:val="00DD5A1B"/>
    <w:rsid w:val="00DD6C67"/>
    <w:rsid w:val="00DD715C"/>
    <w:rsid w:val="00DE18BC"/>
    <w:rsid w:val="00DE2D71"/>
    <w:rsid w:val="00DE65BA"/>
    <w:rsid w:val="00DF4B62"/>
    <w:rsid w:val="00DF6613"/>
    <w:rsid w:val="00E03859"/>
    <w:rsid w:val="00E0517E"/>
    <w:rsid w:val="00E1161E"/>
    <w:rsid w:val="00E13B23"/>
    <w:rsid w:val="00E15DEF"/>
    <w:rsid w:val="00E15E9E"/>
    <w:rsid w:val="00E254D5"/>
    <w:rsid w:val="00E26113"/>
    <w:rsid w:val="00E266A4"/>
    <w:rsid w:val="00E27D68"/>
    <w:rsid w:val="00E3012E"/>
    <w:rsid w:val="00E307B8"/>
    <w:rsid w:val="00E32621"/>
    <w:rsid w:val="00E35306"/>
    <w:rsid w:val="00E35847"/>
    <w:rsid w:val="00E36C7A"/>
    <w:rsid w:val="00E4362E"/>
    <w:rsid w:val="00E455A1"/>
    <w:rsid w:val="00E50493"/>
    <w:rsid w:val="00E50521"/>
    <w:rsid w:val="00E51605"/>
    <w:rsid w:val="00E54BEF"/>
    <w:rsid w:val="00E567CD"/>
    <w:rsid w:val="00E56993"/>
    <w:rsid w:val="00E56F4A"/>
    <w:rsid w:val="00E63428"/>
    <w:rsid w:val="00E65900"/>
    <w:rsid w:val="00E70528"/>
    <w:rsid w:val="00E751FE"/>
    <w:rsid w:val="00E7797E"/>
    <w:rsid w:val="00E82807"/>
    <w:rsid w:val="00E86A36"/>
    <w:rsid w:val="00E87432"/>
    <w:rsid w:val="00E91944"/>
    <w:rsid w:val="00E91BBA"/>
    <w:rsid w:val="00E943B8"/>
    <w:rsid w:val="00E94C20"/>
    <w:rsid w:val="00EA267B"/>
    <w:rsid w:val="00EA300D"/>
    <w:rsid w:val="00EA3090"/>
    <w:rsid w:val="00EA480E"/>
    <w:rsid w:val="00EA494E"/>
    <w:rsid w:val="00EA4BCA"/>
    <w:rsid w:val="00EA6B39"/>
    <w:rsid w:val="00EB209E"/>
    <w:rsid w:val="00EB332C"/>
    <w:rsid w:val="00EB5CD1"/>
    <w:rsid w:val="00EB723B"/>
    <w:rsid w:val="00EB767D"/>
    <w:rsid w:val="00EB7ED6"/>
    <w:rsid w:val="00EC2F2C"/>
    <w:rsid w:val="00EC3A94"/>
    <w:rsid w:val="00EC63E3"/>
    <w:rsid w:val="00EC6CC9"/>
    <w:rsid w:val="00ED3636"/>
    <w:rsid w:val="00ED5DBC"/>
    <w:rsid w:val="00EE16D4"/>
    <w:rsid w:val="00EE2C5B"/>
    <w:rsid w:val="00EE2C87"/>
    <w:rsid w:val="00EE61A2"/>
    <w:rsid w:val="00EF08E4"/>
    <w:rsid w:val="00EF0925"/>
    <w:rsid w:val="00EF0A8D"/>
    <w:rsid w:val="00EF35EF"/>
    <w:rsid w:val="00EF4086"/>
    <w:rsid w:val="00EF461B"/>
    <w:rsid w:val="00EF727C"/>
    <w:rsid w:val="00EF72E4"/>
    <w:rsid w:val="00F04206"/>
    <w:rsid w:val="00F045B9"/>
    <w:rsid w:val="00F05C7B"/>
    <w:rsid w:val="00F063B4"/>
    <w:rsid w:val="00F1389A"/>
    <w:rsid w:val="00F140DF"/>
    <w:rsid w:val="00F1518C"/>
    <w:rsid w:val="00F15D66"/>
    <w:rsid w:val="00F15F5C"/>
    <w:rsid w:val="00F15F76"/>
    <w:rsid w:val="00F17283"/>
    <w:rsid w:val="00F23266"/>
    <w:rsid w:val="00F2670D"/>
    <w:rsid w:val="00F26D2D"/>
    <w:rsid w:val="00F30144"/>
    <w:rsid w:val="00F3081C"/>
    <w:rsid w:val="00F3328F"/>
    <w:rsid w:val="00F34FF2"/>
    <w:rsid w:val="00F4040E"/>
    <w:rsid w:val="00F448EC"/>
    <w:rsid w:val="00F44C47"/>
    <w:rsid w:val="00F45EF7"/>
    <w:rsid w:val="00F5005C"/>
    <w:rsid w:val="00F506EF"/>
    <w:rsid w:val="00F50AD6"/>
    <w:rsid w:val="00F5140D"/>
    <w:rsid w:val="00F53D7B"/>
    <w:rsid w:val="00F55E8A"/>
    <w:rsid w:val="00F565A3"/>
    <w:rsid w:val="00F600EA"/>
    <w:rsid w:val="00F620D8"/>
    <w:rsid w:val="00F62E42"/>
    <w:rsid w:val="00F64334"/>
    <w:rsid w:val="00F64852"/>
    <w:rsid w:val="00F66825"/>
    <w:rsid w:val="00F66A41"/>
    <w:rsid w:val="00F67908"/>
    <w:rsid w:val="00F7435C"/>
    <w:rsid w:val="00F74B10"/>
    <w:rsid w:val="00F863B7"/>
    <w:rsid w:val="00F9119D"/>
    <w:rsid w:val="00F919DA"/>
    <w:rsid w:val="00F941FF"/>
    <w:rsid w:val="00F96E60"/>
    <w:rsid w:val="00F973D7"/>
    <w:rsid w:val="00FA1C14"/>
    <w:rsid w:val="00FA3AE3"/>
    <w:rsid w:val="00FA3FFD"/>
    <w:rsid w:val="00FA4D33"/>
    <w:rsid w:val="00FA5197"/>
    <w:rsid w:val="00FA5AD2"/>
    <w:rsid w:val="00FA6EC4"/>
    <w:rsid w:val="00FB0CB7"/>
    <w:rsid w:val="00FB25C1"/>
    <w:rsid w:val="00FB6C38"/>
    <w:rsid w:val="00FC1E31"/>
    <w:rsid w:val="00FC2104"/>
    <w:rsid w:val="00FC265C"/>
    <w:rsid w:val="00FC2B0D"/>
    <w:rsid w:val="00FC3A87"/>
    <w:rsid w:val="00FC5C06"/>
    <w:rsid w:val="00FC70AF"/>
    <w:rsid w:val="00FD496B"/>
    <w:rsid w:val="00FD505C"/>
    <w:rsid w:val="00FD5421"/>
    <w:rsid w:val="00FD57E9"/>
    <w:rsid w:val="00FD6B1B"/>
    <w:rsid w:val="00FD7A88"/>
    <w:rsid w:val="00FE4CD1"/>
    <w:rsid w:val="00FE5BFC"/>
    <w:rsid w:val="00FE7DDE"/>
    <w:rsid w:val="00FE7E6F"/>
    <w:rsid w:val="00FF0F52"/>
    <w:rsid w:val="00FF1E8D"/>
    <w:rsid w:val="00FF23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7BEF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B43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57EB3"/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deloitte.com/cz/cs/pages/consumer-business/articles/football-money-leagu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BDC31058704E843134350A983B6C" ma:contentTypeVersion="9" ma:contentTypeDescription="Create a new document." ma:contentTypeScope="" ma:versionID="dfcb74fe326febaa058d0dad11c71580">
  <xsd:schema xmlns:xsd="http://www.w3.org/2001/XMLSchema" xmlns:xs="http://www.w3.org/2001/XMLSchema" xmlns:p="http://schemas.microsoft.com/office/2006/metadata/properties" xmlns:ns2="f8459adc-0832-4882-92f0-865ac5afa043" xmlns:ns3="b0322370-96c7-4712-b230-f50754a93d1e" targetNamespace="http://schemas.microsoft.com/office/2006/metadata/properties" ma:root="true" ma:fieldsID="c89997b7a1534d25b9292818ee418365" ns2:_="" ns3:_="">
    <xsd:import namespace="f8459adc-0832-4882-92f0-865ac5afa043"/>
    <xsd:import namespace="b0322370-96c7-4712-b230-f50754a9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9adc-0832-4882-92f0-865ac5afa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2370-96c7-4712-b230-f50754a9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C89A-6150-4015-830F-819CB1374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878D0-C047-450F-8CE8-3355398F9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59adc-0832-4882-92f0-865ac5afa043"/>
    <ds:schemaRef ds:uri="b0322370-96c7-4712-b230-f50754a9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DD381-1270-4C33-9155-718F96E7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69A56-32F0-48DE-9468-54A52F08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1154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3</cp:revision>
  <cp:lastPrinted>2018-10-01T11:48:00Z</cp:lastPrinted>
  <dcterms:created xsi:type="dcterms:W3CDTF">2021-01-25T13:59:00Z</dcterms:created>
  <dcterms:modified xsi:type="dcterms:W3CDTF">2021-01-25T16:41:00Z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0x010100F6DABDC31058704E843134350A983B6C</vt:lpwstr>
  </property>
</Properties>
</file>